
<file path=[Content_Types].xml><?xml version="1.0" encoding="utf-8"?>
<Types xmlns="http://schemas.openxmlformats.org/package/2006/content-types">
  <Default Extension="xml" ContentType="application/xml"/>
  <Default Extension="png" ContentType="image/png"/>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675C067">
      <w:pPr>
        <w:widowControl/>
        <w:autoSpaceDE w:val="0"/>
        <w:autoSpaceDN w:val="0"/>
        <w:ind w:right="-1"/>
        <w:textAlignment w:val="bottom"/>
        <w:rPr>
          <w:rFonts w:ascii="Arial Narrow" w:hAnsi="Arial Narrow"/>
          <w:b/>
          <w:color w:val="FF0000"/>
          <w:sz w:val="44"/>
        </w:rPr>
      </w:pPr>
      <w:r>
        <w:rPr>
          <w:rFonts w:hint="eastAsia" w:hAnsi="宋体" w:cs="宋体"/>
          <w:bCs/>
          <w:spacing w:val="8"/>
          <w:sz w:val="24"/>
          <w:szCs w:val="24"/>
        </w:rPr>
        <w:t>本资产评估报告依据中国资产评估执业准则编制</w:t>
      </w:r>
    </w:p>
    <w:p w14:paraId="7E6302BC">
      <w:pPr>
        <w:widowControl/>
        <w:autoSpaceDE w:val="0"/>
        <w:autoSpaceDN w:val="0"/>
        <w:ind w:right="-1"/>
        <w:textAlignment w:val="bottom"/>
        <w:rPr>
          <w:rFonts w:ascii="Arial Narrow" w:hAnsi="Arial Narrow"/>
          <w:b/>
          <w:color w:val="FF0000"/>
          <w:sz w:val="44"/>
        </w:rPr>
      </w:pPr>
    </w:p>
    <w:p w14:paraId="376CE5E7">
      <w:pPr>
        <w:widowControl/>
        <w:autoSpaceDE w:val="0"/>
        <w:autoSpaceDN w:val="0"/>
        <w:ind w:right="-1"/>
        <w:textAlignment w:val="bottom"/>
        <w:rPr>
          <w:rFonts w:ascii="Arial Narrow" w:hAnsi="Arial Narrow"/>
          <w:b/>
          <w:color w:val="FF0000"/>
          <w:sz w:val="44"/>
        </w:rPr>
      </w:pPr>
    </w:p>
    <w:p w14:paraId="67BC8F47">
      <w:pPr>
        <w:widowControl/>
        <w:autoSpaceDE w:val="0"/>
        <w:autoSpaceDN w:val="0"/>
        <w:ind w:right="-1"/>
        <w:textAlignment w:val="bottom"/>
        <w:rPr>
          <w:rFonts w:ascii="Arial Narrow" w:hAnsi="Arial Narrow"/>
          <w:b/>
          <w:color w:val="FF0000"/>
          <w:sz w:val="44"/>
        </w:rPr>
      </w:pPr>
    </w:p>
    <w:p w14:paraId="47D1981E">
      <w:pPr>
        <w:widowControl/>
        <w:autoSpaceDE w:val="0"/>
        <w:autoSpaceDN w:val="0"/>
        <w:ind w:right="-1"/>
        <w:textAlignment w:val="bottom"/>
        <w:rPr>
          <w:rFonts w:ascii="Arial Narrow" w:hAnsi="Arial Narrow"/>
          <w:b/>
          <w:color w:val="FF0000"/>
          <w:sz w:val="44"/>
        </w:rPr>
      </w:pPr>
    </w:p>
    <w:p w14:paraId="4EC5A45E">
      <w:pPr>
        <w:widowControl/>
        <w:autoSpaceDE w:val="0"/>
        <w:autoSpaceDN w:val="0"/>
        <w:ind w:right="-1"/>
        <w:textAlignment w:val="bottom"/>
        <w:rPr>
          <w:rFonts w:ascii="Arial Narrow" w:hAnsi="Arial Narrow"/>
          <w:b/>
          <w:color w:val="FF0000"/>
          <w:sz w:val="44"/>
        </w:rPr>
      </w:pPr>
      <w:bookmarkStart w:id="0" w:name="_top"/>
      <w:bookmarkEnd w:id="0"/>
      <w:r>
        <w:rPr>
          <w:rFonts w:ascii="Arial Narrow" w:hAnsi="Arial Narrow"/>
          <w:b/>
          <w:color w:val="FF0000"/>
          <w:sz w:val="20"/>
        </w:rPr>
        <mc:AlternateContent>
          <mc:Choice Requires="wps">
            <w:drawing>
              <wp:anchor distT="0" distB="0" distL="114300" distR="114300" simplePos="0" relativeHeight="251659264" behindDoc="0" locked="1" layoutInCell="1" allowOverlap="1">
                <wp:simplePos x="0" y="0"/>
                <wp:positionH relativeFrom="column">
                  <wp:posOffset>394335</wp:posOffset>
                </wp:positionH>
                <wp:positionV relativeFrom="page">
                  <wp:posOffset>2353310</wp:posOffset>
                </wp:positionV>
                <wp:extent cx="4915535" cy="1866900"/>
                <wp:effectExtent l="0" t="0" r="0" b="0"/>
                <wp:wrapNone/>
                <wp:docPr id="2" name="Text Box 360"/>
                <wp:cNvGraphicFramePr/>
                <a:graphic xmlns:a="http://schemas.openxmlformats.org/drawingml/2006/main">
                  <a:graphicData uri="http://schemas.microsoft.com/office/word/2010/wordprocessingShape">
                    <wps:wsp>
                      <wps:cNvSpPr txBox="1"/>
                      <wps:spPr>
                        <a:xfrm>
                          <a:off x="0" y="0"/>
                          <a:ext cx="4915535" cy="1866900"/>
                        </a:xfrm>
                        <a:prstGeom prst="rect">
                          <a:avLst/>
                        </a:prstGeom>
                        <a:solidFill>
                          <a:srgbClr val="FFFFFF"/>
                        </a:solidFill>
                        <a:ln w="9525">
                          <a:noFill/>
                        </a:ln>
                      </wps:spPr>
                      <wps:txbx>
                        <w:txbxContent>
                          <w:p w14:paraId="7D1BEEF4">
                            <w:pPr>
                              <w:widowControl/>
                              <w:autoSpaceDE w:val="0"/>
                              <w:autoSpaceDN w:val="0"/>
                              <w:spacing w:before="40" w:after="40"/>
                              <w:ind w:left="-292" w:leftChars="-86" w:right="-195"/>
                              <w:jc w:val="center"/>
                              <w:textAlignment w:val="bottom"/>
                              <w:rPr>
                                <w:rFonts w:ascii="黑体" w:hAnsi="Arial Narrow" w:eastAsia="黑体"/>
                                <w:b/>
                                <w:spacing w:val="8"/>
                                <w:sz w:val="32"/>
                                <w:szCs w:val="32"/>
                              </w:rPr>
                            </w:pPr>
                            <w:r>
                              <w:rPr>
                                <w:rFonts w:hint="eastAsia" w:ascii="黑体" w:hAnsi="Arial Narrow" w:eastAsia="黑体"/>
                                <w:b/>
                                <w:spacing w:val="8"/>
                                <w:sz w:val="32"/>
                                <w:szCs w:val="32"/>
                              </w:rPr>
                              <w:t>安徽交运集团巢湖汽运有限公司拟转让持有的</w:t>
                            </w:r>
                          </w:p>
                          <w:p w14:paraId="428BA5B7">
                            <w:pPr>
                              <w:widowControl/>
                              <w:autoSpaceDE w:val="0"/>
                              <w:autoSpaceDN w:val="0"/>
                              <w:spacing w:before="40" w:after="40"/>
                              <w:ind w:left="-292" w:leftChars="-86" w:right="-195"/>
                              <w:jc w:val="center"/>
                              <w:textAlignment w:val="bottom"/>
                              <w:rPr>
                                <w:rFonts w:ascii="黑体" w:hAnsi="Arial Narrow" w:eastAsia="黑体"/>
                                <w:b/>
                                <w:spacing w:val="8"/>
                                <w:sz w:val="32"/>
                                <w:szCs w:val="32"/>
                              </w:rPr>
                            </w:pPr>
                            <w:r>
                              <w:rPr>
                                <w:rFonts w:hint="eastAsia" w:ascii="黑体" w:hAnsi="Arial Narrow" w:eastAsia="黑体"/>
                                <w:b/>
                                <w:spacing w:val="8"/>
                                <w:sz w:val="32"/>
                                <w:szCs w:val="32"/>
                              </w:rPr>
                              <w:t>和县飞雁城乡客运有限公司51%股权事宜</w:t>
                            </w:r>
                          </w:p>
                          <w:p w14:paraId="0CF995FB">
                            <w:pPr>
                              <w:widowControl/>
                              <w:autoSpaceDE w:val="0"/>
                              <w:autoSpaceDN w:val="0"/>
                              <w:spacing w:before="40" w:after="40"/>
                              <w:ind w:left="-292" w:leftChars="-86" w:right="-195"/>
                              <w:jc w:val="center"/>
                              <w:textAlignment w:val="bottom"/>
                              <w:rPr>
                                <w:rFonts w:ascii="黑体" w:hAnsi="Arial Narrow" w:eastAsia="黑体"/>
                                <w:b/>
                                <w:spacing w:val="8"/>
                                <w:sz w:val="32"/>
                                <w:szCs w:val="32"/>
                              </w:rPr>
                            </w:pPr>
                            <w:r>
                              <w:rPr>
                                <w:rFonts w:hint="eastAsia" w:ascii="黑体" w:hAnsi="Arial Narrow" w:eastAsia="黑体"/>
                                <w:b/>
                                <w:spacing w:val="8"/>
                                <w:sz w:val="32"/>
                                <w:szCs w:val="32"/>
                              </w:rPr>
                              <w:t>涉及的和县飞雁城乡客运有限公司</w:t>
                            </w:r>
                          </w:p>
                          <w:p w14:paraId="2048FFFB">
                            <w:pPr>
                              <w:widowControl/>
                              <w:autoSpaceDE w:val="0"/>
                              <w:autoSpaceDN w:val="0"/>
                              <w:spacing w:before="40" w:after="40"/>
                              <w:ind w:left="-292" w:leftChars="-86" w:right="-195"/>
                              <w:jc w:val="center"/>
                              <w:textAlignment w:val="bottom"/>
                              <w:rPr>
                                <w:rFonts w:ascii="黑体" w:hAnsi="Arial Narrow" w:eastAsia="黑体"/>
                                <w:b/>
                                <w:spacing w:val="8"/>
                                <w:sz w:val="32"/>
                                <w:szCs w:val="32"/>
                              </w:rPr>
                            </w:pPr>
                            <w:r>
                              <w:rPr>
                                <w:rFonts w:hint="eastAsia" w:ascii="黑体" w:hAnsi="Arial Narrow" w:eastAsia="黑体"/>
                                <w:b/>
                                <w:spacing w:val="8"/>
                                <w:sz w:val="32"/>
                                <w:szCs w:val="32"/>
                              </w:rPr>
                              <w:t>全部股东权益价值项目</w:t>
                            </w:r>
                          </w:p>
                          <w:p w14:paraId="2B911634">
                            <w:pPr>
                              <w:widowControl/>
                              <w:autoSpaceDE w:val="0"/>
                              <w:autoSpaceDN w:val="0"/>
                              <w:spacing w:before="40" w:after="40"/>
                              <w:ind w:left="-292" w:leftChars="-86" w:right="-195"/>
                              <w:jc w:val="center"/>
                              <w:textAlignment w:val="bottom"/>
                              <w:rPr>
                                <w:rFonts w:ascii="黑体" w:hAnsi="Arial Narrow" w:eastAsia="黑体"/>
                                <w:b/>
                                <w:spacing w:val="8"/>
                                <w:sz w:val="44"/>
                                <w:szCs w:val="44"/>
                              </w:rPr>
                            </w:pPr>
                            <w:r>
                              <w:rPr>
                                <w:rFonts w:hint="eastAsia" w:ascii="黑体" w:hAnsi="Arial Narrow" w:eastAsia="黑体"/>
                                <w:b/>
                                <w:spacing w:val="8"/>
                                <w:sz w:val="44"/>
                                <w:szCs w:val="44"/>
                              </w:rPr>
                              <w:t>资产评估报告</w:t>
                            </w:r>
                          </w:p>
                          <w:p w14:paraId="780D9072">
                            <w:pPr>
                              <w:widowControl/>
                              <w:autoSpaceDE w:val="0"/>
                              <w:autoSpaceDN w:val="0"/>
                              <w:spacing w:before="40" w:after="40"/>
                              <w:ind w:right="-1"/>
                              <w:jc w:val="center"/>
                              <w:textAlignment w:val="bottom"/>
                              <w:rPr>
                                <w:rFonts w:hint="eastAsia" w:asciiTheme="minorEastAsia" w:hAnsiTheme="minorEastAsia" w:eastAsiaTheme="minorEastAsia"/>
                                <w:b/>
                                <w:sz w:val="28"/>
                                <w:szCs w:val="28"/>
                              </w:rPr>
                            </w:pPr>
                            <w:r>
                              <w:rPr>
                                <w:rFonts w:hint="eastAsia" w:asciiTheme="minorEastAsia" w:hAnsiTheme="minorEastAsia" w:eastAsiaTheme="minorEastAsia"/>
                                <w:b/>
                                <w:sz w:val="28"/>
                                <w:szCs w:val="28"/>
                              </w:rPr>
                              <w:t>茂福</w:t>
                            </w:r>
                            <w:r>
                              <w:rPr>
                                <w:rFonts w:asciiTheme="minorEastAsia" w:hAnsiTheme="minorEastAsia" w:eastAsiaTheme="minorEastAsia"/>
                                <w:b/>
                                <w:sz w:val="28"/>
                                <w:szCs w:val="28"/>
                              </w:rPr>
                              <w:t>评报字（20</w:t>
                            </w:r>
                            <w:r>
                              <w:rPr>
                                <w:rFonts w:hint="eastAsia" w:asciiTheme="minorEastAsia" w:hAnsiTheme="minorEastAsia" w:eastAsiaTheme="minorEastAsia"/>
                                <w:b/>
                                <w:sz w:val="28"/>
                                <w:szCs w:val="28"/>
                              </w:rPr>
                              <w:t>25</w:t>
                            </w:r>
                            <w:r>
                              <w:rPr>
                                <w:rFonts w:asciiTheme="minorEastAsia" w:hAnsiTheme="minorEastAsia" w:eastAsiaTheme="minorEastAsia"/>
                                <w:b/>
                                <w:sz w:val="28"/>
                                <w:szCs w:val="28"/>
                              </w:rPr>
                              <w:t>）第0</w:t>
                            </w:r>
                            <w:r>
                              <w:rPr>
                                <w:rFonts w:hint="eastAsia" w:asciiTheme="minorEastAsia" w:hAnsiTheme="minorEastAsia" w:eastAsiaTheme="minorEastAsia"/>
                                <w:b/>
                                <w:sz w:val="28"/>
                                <w:szCs w:val="28"/>
                              </w:rPr>
                              <w:t>29</w:t>
                            </w:r>
                            <w:r>
                              <w:rPr>
                                <w:rFonts w:asciiTheme="minorEastAsia" w:hAnsiTheme="minorEastAsia" w:eastAsiaTheme="minorEastAsia"/>
                                <w:b/>
                                <w:sz w:val="28"/>
                                <w:szCs w:val="28"/>
                              </w:rPr>
                              <w:t>号</w:t>
                            </w:r>
                          </w:p>
                          <w:p w14:paraId="3B6B5129">
                            <w:pPr>
                              <w:widowControl/>
                              <w:autoSpaceDE w:val="0"/>
                              <w:autoSpaceDN w:val="0"/>
                              <w:spacing w:before="40" w:after="40"/>
                              <w:ind w:right="-1"/>
                              <w:jc w:val="center"/>
                              <w:textAlignment w:val="bottom"/>
                              <w:rPr>
                                <w:rFonts w:ascii="Arial Narrow" w:hAnsi="Arial Narrow"/>
                                <w:b/>
                                <w:sz w:val="28"/>
                                <w:szCs w:val="28"/>
                              </w:rPr>
                            </w:pPr>
                            <w:r>
                              <w:rPr>
                                <w:rFonts w:hint="eastAsia" w:ascii="Arial Narrow" w:hAnsi="Arial Narrow"/>
                                <w:b/>
                                <w:sz w:val="28"/>
                                <w:szCs w:val="28"/>
                              </w:rPr>
                              <w:t>（共</w:t>
                            </w:r>
                            <w:r>
                              <w:rPr>
                                <w:rFonts w:ascii="Arial Narrow" w:hAnsi="Arial Narrow"/>
                                <w:b/>
                                <w:sz w:val="28"/>
                                <w:szCs w:val="28"/>
                              </w:rPr>
                              <w:t>一</w:t>
                            </w:r>
                            <w:r>
                              <w:rPr>
                                <w:rFonts w:hint="eastAsia" w:ascii="Arial Narrow" w:hAnsi="Arial Narrow"/>
                                <w:b/>
                                <w:sz w:val="28"/>
                                <w:szCs w:val="28"/>
                              </w:rPr>
                              <w:t>册第</w:t>
                            </w:r>
                            <w:r>
                              <w:rPr>
                                <w:rFonts w:ascii="Arial Narrow" w:hAnsi="Arial Narrow"/>
                                <w:b/>
                                <w:sz w:val="28"/>
                                <w:szCs w:val="28"/>
                              </w:rPr>
                              <w:t>一</w:t>
                            </w:r>
                            <w:r>
                              <w:rPr>
                                <w:rFonts w:hint="eastAsia" w:ascii="Arial Narrow" w:hAnsi="Arial Narrow"/>
                                <w:b/>
                                <w:sz w:val="28"/>
                                <w:szCs w:val="28"/>
                              </w:rPr>
                              <w:t>册）</w:t>
                            </w:r>
                          </w:p>
                        </w:txbxContent>
                      </wps:txbx>
                      <wps:bodyPr wrap="square" upright="1"/>
                    </wps:wsp>
                  </a:graphicData>
                </a:graphic>
              </wp:anchor>
            </w:drawing>
          </mc:Choice>
          <mc:Fallback>
            <w:pict>
              <v:shape id="Text Box 360" o:spid="_x0000_s1026" o:spt="202" type="#_x0000_t202" style="position:absolute;left:0pt;margin-left:31.05pt;margin-top:185.3pt;height:147pt;width:387.05pt;mso-position-vertical-relative:page;z-index:251659264;mso-width-relative:page;mso-height-relative:page;" fillcolor="#FFFFFF" filled="t" stroked="f" coordsize="21600,21600" o:gfxdata="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">
                <v:fill on="t" focussize="0,0"/>
                <v:stroke on="f"/>
                <v:imagedata o:title=""/>
                <o:lock v:ext="edit" aspectratio="f"/>
                <v:textbox>
                  <w:txbxContent>
                    <w:p w14:paraId="7D1BEEF4">
                      <w:pPr>
                        <w:widowControl/>
                        <w:autoSpaceDE w:val="0"/>
                        <w:autoSpaceDN w:val="0"/>
                        <w:spacing w:before="40" w:after="40"/>
                        <w:ind w:left="-292" w:leftChars="-86" w:right="-195"/>
                        <w:jc w:val="center"/>
                        <w:textAlignment w:val="bottom"/>
                        <w:rPr>
                          <w:rFonts w:ascii="黑体" w:hAnsi="Arial Narrow" w:eastAsia="黑体"/>
                          <w:b/>
                          <w:spacing w:val="8"/>
                          <w:sz w:val="32"/>
                          <w:szCs w:val="32"/>
                        </w:rPr>
                      </w:pPr>
                      <w:r>
                        <w:rPr>
                          <w:rFonts w:hint="eastAsia" w:ascii="黑体" w:hAnsi="Arial Narrow" w:eastAsia="黑体"/>
                          <w:b/>
                          <w:spacing w:val="8"/>
                          <w:sz w:val="32"/>
                          <w:szCs w:val="32"/>
                        </w:rPr>
                        <w:t>安徽交运集团巢湖汽运有限公司拟转让持有的</w:t>
                      </w:r>
                    </w:p>
                    <w:p w14:paraId="428BA5B7">
                      <w:pPr>
                        <w:widowControl/>
                        <w:autoSpaceDE w:val="0"/>
                        <w:autoSpaceDN w:val="0"/>
                        <w:spacing w:before="40" w:after="40"/>
                        <w:ind w:left="-292" w:leftChars="-86" w:right="-195"/>
                        <w:jc w:val="center"/>
                        <w:textAlignment w:val="bottom"/>
                        <w:rPr>
                          <w:rFonts w:ascii="黑体" w:hAnsi="Arial Narrow" w:eastAsia="黑体"/>
                          <w:b/>
                          <w:spacing w:val="8"/>
                          <w:sz w:val="32"/>
                          <w:szCs w:val="32"/>
                        </w:rPr>
                      </w:pPr>
                      <w:r>
                        <w:rPr>
                          <w:rFonts w:hint="eastAsia" w:ascii="黑体" w:hAnsi="Arial Narrow" w:eastAsia="黑体"/>
                          <w:b/>
                          <w:spacing w:val="8"/>
                          <w:sz w:val="32"/>
                          <w:szCs w:val="32"/>
                        </w:rPr>
                        <w:t>和县飞雁城乡客运有限公司51%股权事宜</w:t>
                      </w:r>
                    </w:p>
                    <w:p w14:paraId="0CF995FB">
                      <w:pPr>
                        <w:widowControl/>
                        <w:autoSpaceDE w:val="0"/>
                        <w:autoSpaceDN w:val="0"/>
                        <w:spacing w:before="40" w:after="40"/>
                        <w:ind w:left="-292" w:leftChars="-86" w:right="-195"/>
                        <w:jc w:val="center"/>
                        <w:textAlignment w:val="bottom"/>
                        <w:rPr>
                          <w:rFonts w:ascii="黑体" w:hAnsi="Arial Narrow" w:eastAsia="黑体"/>
                          <w:b/>
                          <w:spacing w:val="8"/>
                          <w:sz w:val="32"/>
                          <w:szCs w:val="32"/>
                        </w:rPr>
                      </w:pPr>
                      <w:r>
                        <w:rPr>
                          <w:rFonts w:hint="eastAsia" w:ascii="黑体" w:hAnsi="Arial Narrow" w:eastAsia="黑体"/>
                          <w:b/>
                          <w:spacing w:val="8"/>
                          <w:sz w:val="32"/>
                          <w:szCs w:val="32"/>
                        </w:rPr>
                        <w:t>涉及的和县飞雁城乡客运有限公司</w:t>
                      </w:r>
                    </w:p>
                    <w:p w14:paraId="2048FFFB">
                      <w:pPr>
                        <w:widowControl/>
                        <w:autoSpaceDE w:val="0"/>
                        <w:autoSpaceDN w:val="0"/>
                        <w:spacing w:before="40" w:after="40"/>
                        <w:ind w:left="-292" w:leftChars="-86" w:right="-195"/>
                        <w:jc w:val="center"/>
                        <w:textAlignment w:val="bottom"/>
                        <w:rPr>
                          <w:rFonts w:ascii="黑体" w:hAnsi="Arial Narrow" w:eastAsia="黑体"/>
                          <w:b/>
                          <w:spacing w:val="8"/>
                          <w:sz w:val="32"/>
                          <w:szCs w:val="32"/>
                        </w:rPr>
                      </w:pPr>
                      <w:r>
                        <w:rPr>
                          <w:rFonts w:hint="eastAsia" w:ascii="黑体" w:hAnsi="Arial Narrow" w:eastAsia="黑体"/>
                          <w:b/>
                          <w:spacing w:val="8"/>
                          <w:sz w:val="32"/>
                          <w:szCs w:val="32"/>
                        </w:rPr>
                        <w:t>全部股东权益价值项目</w:t>
                      </w:r>
                    </w:p>
                    <w:p w14:paraId="2B911634">
                      <w:pPr>
                        <w:widowControl/>
                        <w:autoSpaceDE w:val="0"/>
                        <w:autoSpaceDN w:val="0"/>
                        <w:spacing w:before="40" w:after="40"/>
                        <w:ind w:left="-292" w:leftChars="-86" w:right="-195"/>
                        <w:jc w:val="center"/>
                        <w:textAlignment w:val="bottom"/>
                        <w:rPr>
                          <w:rFonts w:ascii="黑体" w:hAnsi="Arial Narrow" w:eastAsia="黑体"/>
                          <w:b/>
                          <w:spacing w:val="8"/>
                          <w:sz w:val="44"/>
                          <w:szCs w:val="44"/>
                        </w:rPr>
                      </w:pPr>
                      <w:r>
                        <w:rPr>
                          <w:rFonts w:hint="eastAsia" w:ascii="黑体" w:hAnsi="Arial Narrow" w:eastAsia="黑体"/>
                          <w:b/>
                          <w:spacing w:val="8"/>
                          <w:sz w:val="44"/>
                          <w:szCs w:val="44"/>
                        </w:rPr>
                        <w:t>资产评估报告</w:t>
                      </w:r>
                    </w:p>
                    <w:p w14:paraId="780D9072">
                      <w:pPr>
                        <w:widowControl/>
                        <w:autoSpaceDE w:val="0"/>
                        <w:autoSpaceDN w:val="0"/>
                        <w:spacing w:before="40" w:after="40"/>
                        <w:ind w:right="-1"/>
                        <w:jc w:val="center"/>
                        <w:textAlignment w:val="bottom"/>
                        <w:rPr>
                          <w:rFonts w:hint="eastAsia" w:asciiTheme="minorEastAsia" w:hAnsiTheme="minorEastAsia" w:eastAsiaTheme="minorEastAsia"/>
                          <w:b/>
                          <w:sz w:val="28"/>
                          <w:szCs w:val="28"/>
                        </w:rPr>
                      </w:pPr>
                      <w:r>
                        <w:rPr>
                          <w:rFonts w:hint="eastAsia" w:asciiTheme="minorEastAsia" w:hAnsiTheme="minorEastAsia" w:eastAsiaTheme="minorEastAsia"/>
                          <w:b/>
                          <w:sz w:val="28"/>
                          <w:szCs w:val="28"/>
                        </w:rPr>
                        <w:t>茂福</w:t>
                      </w:r>
                      <w:r>
                        <w:rPr>
                          <w:rFonts w:asciiTheme="minorEastAsia" w:hAnsiTheme="minorEastAsia" w:eastAsiaTheme="minorEastAsia"/>
                          <w:b/>
                          <w:sz w:val="28"/>
                          <w:szCs w:val="28"/>
                        </w:rPr>
                        <w:t>评报字（20</w:t>
                      </w:r>
                      <w:r>
                        <w:rPr>
                          <w:rFonts w:hint="eastAsia" w:asciiTheme="minorEastAsia" w:hAnsiTheme="minorEastAsia" w:eastAsiaTheme="minorEastAsia"/>
                          <w:b/>
                          <w:sz w:val="28"/>
                          <w:szCs w:val="28"/>
                        </w:rPr>
                        <w:t>25</w:t>
                      </w:r>
                      <w:r>
                        <w:rPr>
                          <w:rFonts w:asciiTheme="minorEastAsia" w:hAnsiTheme="minorEastAsia" w:eastAsiaTheme="minorEastAsia"/>
                          <w:b/>
                          <w:sz w:val="28"/>
                          <w:szCs w:val="28"/>
                        </w:rPr>
                        <w:t>）第0</w:t>
                      </w:r>
                      <w:r>
                        <w:rPr>
                          <w:rFonts w:hint="eastAsia" w:asciiTheme="minorEastAsia" w:hAnsiTheme="minorEastAsia" w:eastAsiaTheme="minorEastAsia"/>
                          <w:b/>
                          <w:sz w:val="28"/>
                          <w:szCs w:val="28"/>
                        </w:rPr>
                        <w:t>29</w:t>
                      </w:r>
                      <w:r>
                        <w:rPr>
                          <w:rFonts w:asciiTheme="minorEastAsia" w:hAnsiTheme="minorEastAsia" w:eastAsiaTheme="minorEastAsia"/>
                          <w:b/>
                          <w:sz w:val="28"/>
                          <w:szCs w:val="28"/>
                        </w:rPr>
                        <w:t>号</w:t>
                      </w:r>
                    </w:p>
                    <w:p w14:paraId="3B6B5129">
                      <w:pPr>
                        <w:widowControl/>
                        <w:autoSpaceDE w:val="0"/>
                        <w:autoSpaceDN w:val="0"/>
                        <w:spacing w:before="40" w:after="40"/>
                        <w:ind w:right="-1"/>
                        <w:jc w:val="center"/>
                        <w:textAlignment w:val="bottom"/>
                        <w:rPr>
                          <w:rFonts w:ascii="Arial Narrow" w:hAnsi="Arial Narrow"/>
                          <w:b/>
                          <w:sz w:val="28"/>
                          <w:szCs w:val="28"/>
                        </w:rPr>
                      </w:pPr>
                      <w:r>
                        <w:rPr>
                          <w:rFonts w:hint="eastAsia" w:ascii="Arial Narrow" w:hAnsi="Arial Narrow"/>
                          <w:b/>
                          <w:sz w:val="28"/>
                          <w:szCs w:val="28"/>
                        </w:rPr>
                        <w:t>（共</w:t>
                      </w:r>
                      <w:r>
                        <w:rPr>
                          <w:rFonts w:ascii="Arial Narrow" w:hAnsi="Arial Narrow"/>
                          <w:b/>
                          <w:sz w:val="28"/>
                          <w:szCs w:val="28"/>
                        </w:rPr>
                        <w:t>一</w:t>
                      </w:r>
                      <w:r>
                        <w:rPr>
                          <w:rFonts w:hint="eastAsia" w:ascii="Arial Narrow" w:hAnsi="Arial Narrow"/>
                          <w:b/>
                          <w:sz w:val="28"/>
                          <w:szCs w:val="28"/>
                        </w:rPr>
                        <w:t>册第</w:t>
                      </w:r>
                      <w:r>
                        <w:rPr>
                          <w:rFonts w:ascii="Arial Narrow" w:hAnsi="Arial Narrow"/>
                          <w:b/>
                          <w:sz w:val="28"/>
                          <w:szCs w:val="28"/>
                        </w:rPr>
                        <w:t>一</w:t>
                      </w:r>
                      <w:r>
                        <w:rPr>
                          <w:rFonts w:hint="eastAsia" w:ascii="Arial Narrow" w:hAnsi="Arial Narrow"/>
                          <w:b/>
                          <w:sz w:val="28"/>
                          <w:szCs w:val="28"/>
                        </w:rPr>
                        <w:t>册）</w:t>
                      </w:r>
                    </w:p>
                  </w:txbxContent>
                </v:textbox>
                <w10:anchorlock/>
              </v:shape>
            </w:pict>
          </mc:Fallback>
        </mc:AlternateContent>
      </w:r>
    </w:p>
    <w:p w14:paraId="0F3F9274">
      <w:pPr>
        <w:widowControl/>
        <w:autoSpaceDE w:val="0"/>
        <w:autoSpaceDN w:val="0"/>
        <w:ind w:right="-1"/>
        <w:textAlignment w:val="bottom"/>
        <w:rPr>
          <w:rFonts w:ascii="Arial Narrow" w:hAnsi="Arial Narrow"/>
          <w:b/>
          <w:color w:val="FF0000"/>
          <w:sz w:val="10"/>
        </w:rPr>
      </w:pPr>
    </w:p>
    <w:p w14:paraId="14E219A0">
      <w:pPr>
        <w:widowControl/>
        <w:autoSpaceDE w:val="0"/>
        <w:autoSpaceDN w:val="0"/>
        <w:spacing w:before="40" w:after="40"/>
        <w:ind w:right="-19"/>
        <w:jc w:val="center"/>
        <w:textAlignment w:val="bottom"/>
        <w:rPr>
          <w:rFonts w:ascii="Arial Narrow" w:hAnsi="Arial Narrow"/>
          <w:b/>
          <w:color w:val="FF0000"/>
          <w:sz w:val="32"/>
        </w:rPr>
      </w:pPr>
    </w:p>
    <w:p w14:paraId="40FDCC6B">
      <w:pPr>
        <w:widowControl/>
        <w:autoSpaceDE w:val="0"/>
        <w:autoSpaceDN w:val="0"/>
        <w:ind w:right="-1"/>
        <w:jc w:val="center"/>
        <w:textAlignment w:val="bottom"/>
        <w:rPr>
          <w:rFonts w:ascii="Arial Narrow" w:hAnsi="Arial Narrow" w:eastAsia="昆仑细圆"/>
          <w:color w:val="FF0000"/>
          <w:sz w:val="32"/>
        </w:rPr>
      </w:pPr>
    </w:p>
    <w:p w14:paraId="6397EEAC">
      <w:pPr>
        <w:widowControl/>
        <w:autoSpaceDE w:val="0"/>
        <w:autoSpaceDN w:val="0"/>
        <w:ind w:right="-1"/>
        <w:jc w:val="center"/>
        <w:textAlignment w:val="bottom"/>
        <w:rPr>
          <w:rFonts w:ascii="Arial Narrow" w:hAnsi="Arial Narrow" w:eastAsia="昆仑细圆"/>
          <w:color w:val="FF0000"/>
          <w:sz w:val="32"/>
        </w:rPr>
      </w:pPr>
    </w:p>
    <w:p w14:paraId="56AC3977">
      <w:pPr>
        <w:widowControl/>
        <w:autoSpaceDE w:val="0"/>
        <w:autoSpaceDN w:val="0"/>
        <w:ind w:right="239"/>
        <w:textAlignment w:val="bottom"/>
        <w:rPr>
          <w:rFonts w:ascii="Arial Narrow" w:hAnsi="Arial Narrow"/>
          <w:color w:val="FF0000"/>
        </w:rPr>
      </w:pPr>
    </w:p>
    <w:p w14:paraId="2825632C">
      <w:pPr>
        <w:widowControl/>
        <w:autoSpaceDE w:val="0"/>
        <w:autoSpaceDN w:val="0"/>
        <w:ind w:right="239"/>
        <w:textAlignment w:val="bottom"/>
        <w:rPr>
          <w:rFonts w:ascii="Arial Narrow" w:hAnsi="Arial Narrow"/>
          <w:color w:val="FF0000"/>
        </w:rPr>
      </w:pPr>
    </w:p>
    <w:p w14:paraId="3D5A59C3">
      <w:pPr>
        <w:widowControl/>
        <w:autoSpaceDE w:val="0"/>
        <w:autoSpaceDN w:val="0"/>
        <w:ind w:right="239"/>
        <w:jc w:val="center"/>
        <w:textAlignment w:val="bottom"/>
        <w:rPr>
          <w:rFonts w:ascii="Arial Narrow" w:hAnsi="Arial Narrow"/>
          <w:color w:val="FF0000"/>
        </w:rPr>
      </w:pPr>
    </w:p>
    <w:p w14:paraId="4E327251">
      <w:pPr>
        <w:jc w:val="center"/>
        <w:rPr>
          <w:rFonts w:ascii="Arial Narrow" w:hAnsi="Arial Narrow"/>
          <w:color w:val="FF0000"/>
        </w:rPr>
      </w:pPr>
    </w:p>
    <w:p w14:paraId="00587D86">
      <w:pPr>
        <w:widowControl/>
        <w:autoSpaceDE w:val="0"/>
        <w:autoSpaceDN w:val="0"/>
        <w:ind w:right="239"/>
        <w:jc w:val="center"/>
        <w:textAlignment w:val="bottom"/>
        <w:rPr>
          <w:rFonts w:ascii="Arial Narrow" w:hAnsi="Arial Narrow"/>
          <w:color w:val="FF0000"/>
        </w:rPr>
      </w:pPr>
    </w:p>
    <w:p w14:paraId="5DD426F7">
      <w:pPr>
        <w:widowControl/>
        <w:autoSpaceDE w:val="0"/>
        <w:autoSpaceDN w:val="0"/>
        <w:ind w:right="239"/>
        <w:jc w:val="center"/>
        <w:textAlignment w:val="bottom"/>
        <w:rPr>
          <w:rFonts w:ascii="Arial Narrow" w:hAnsi="Arial Narrow"/>
          <w:color w:val="FF0000"/>
        </w:rPr>
      </w:pPr>
    </w:p>
    <w:p w14:paraId="2EE7AECB">
      <w:pPr>
        <w:widowControl/>
        <w:autoSpaceDE w:val="0"/>
        <w:autoSpaceDN w:val="0"/>
        <w:ind w:right="239"/>
        <w:jc w:val="center"/>
        <w:textAlignment w:val="bottom"/>
        <w:rPr>
          <w:rFonts w:ascii="Arial Narrow" w:hAnsi="Arial Narrow"/>
          <w:color w:val="FF0000"/>
        </w:rPr>
      </w:pPr>
    </w:p>
    <w:p w14:paraId="09297A8A">
      <w:pPr>
        <w:widowControl/>
        <w:autoSpaceDE w:val="0"/>
        <w:autoSpaceDN w:val="0"/>
        <w:ind w:right="239"/>
        <w:jc w:val="center"/>
        <w:textAlignment w:val="bottom"/>
        <w:rPr>
          <w:rFonts w:ascii="Arial Narrow" w:hAnsi="Arial Narrow"/>
          <w:color w:val="FF0000"/>
        </w:rPr>
      </w:pPr>
    </w:p>
    <w:p w14:paraId="174EBCFA">
      <w:pPr>
        <w:widowControl/>
        <w:autoSpaceDE w:val="0"/>
        <w:autoSpaceDN w:val="0"/>
        <w:ind w:right="239"/>
        <w:jc w:val="center"/>
        <w:textAlignment w:val="bottom"/>
        <w:rPr>
          <w:rFonts w:ascii="Arial Narrow" w:hAnsi="Arial Narrow"/>
          <w:color w:val="FF0000"/>
          <w:sz w:val="28"/>
          <w:szCs w:val="28"/>
        </w:rPr>
      </w:pPr>
    </w:p>
    <w:p w14:paraId="42B4892E">
      <w:pPr>
        <w:widowControl/>
        <w:autoSpaceDE w:val="0"/>
        <w:autoSpaceDN w:val="0"/>
        <w:ind w:right="239"/>
        <w:jc w:val="center"/>
        <w:textAlignment w:val="bottom"/>
        <w:rPr>
          <w:rFonts w:ascii="Arial Narrow" w:hAnsi="Arial Narrow"/>
          <w:color w:val="FF0000"/>
          <w:sz w:val="28"/>
          <w:szCs w:val="28"/>
        </w:rPr>
      </w:pPr>
    </w:p>
    <w:p w14:paraId="22FF72B1">
      <w:pPr>
        <w:widowControl/>
        <w:autoSpaceDE w:val="0"/>
        <w:autoSpaceDN w:val="0"/>
        <w:ind w:right="239"/>
        <w:jc w:val="center"/>
        <w:textAlignment w:val="bottom"/>
        <w:rPr>
          <w:rFonts w:ascii="Arial Narrow" w:hAnsi="Arial Narrow"/>
          <w:color w:val="FF0000"/>
          <w:sz w:val="28"/>
          <w:szCs w:val="28"/>
        </w:rPr>
      </w:pPr>
    </w:p>
    <w:p w14:paraId="3CDFC6FE">
      <w:pPr>
        <w:widowControl/>
        <w:autoSpaceDE w:val="0"/>
        <w:autoSpaceDN w:val="0"/>
        <w:ind w:right="239"/>
        <w:jc w:val="center"/>
        <w:textAlignment w:val="bottom"/>
        <w:rPr>
          <w:rFonts w:ascii="Arial Narrow" w:hAnsi="Arial Narrow"/>
          <w:color w:val="FF0000"/>
          <w:sz w:val="28"/>
          <w:szCs w:val="28"/>
        </w:rPr>
      </w:pPr>
    </w:p>
    <w:p w14:paraId="6FE1DE2E">
      <w:pPr>
        <w:widowControl/>
        <w:autoSpaceDE w:val="0"/>
        <w:autoSpaceDN w:val="0"/>
        <w:ind w:right="239"/>
        <w:jc w:val="center"/>
        <w:textAlignment w:val="bottom"/>
        <w:rPr>
          <w:rFonts w:ascii="Arial Narrow" w:hAnsi="Arial Narrow"/>
          <w:color w:val="FF0000"/>
          <w:sz w:val="28"/>
          <w:szCs w:val="28"/>
        </w:rPr>
      </w:pPr>
    </w:p>
    <w:p w14:paraId="471577BB">
      <w:pPr>
        <w:widowControl/>
        <w:autoSpaceDE w:val="0"/>
        <w:autoSpaceDN w:val="0"/>
        <w:ind w:right="239"/>
        <w:jc w:val="center"/>
        <w:textAlignment w:val="bottom"/>
        <w:rPr>
          <w:rFonts w:ascii="Arial Narrow" w:hAnsi="Arial Narrow"/>
          <w:color w:val="FF0000"/>
          <w:sz w:val="28"/>
          <w:szCs w:val="28"/>
        </w:rPr>
      </w:pPr>
    </w:p>
    <w:p w14:paraId="1D9F25DD">
      <w:pPr>
        <w:widowControl/>
        <w:autoSpaceDE w:val="0"/>
        <w:autoSpaceDN w:val="0"/>
        <w:ind w:right="239"/>
        <w:jc w:val="center"/>
        <w:textAlignment w:val="bottom"/>
        <w:rPr>
          <w:rFonts w:ascii="Arial Narrow" w:hAnsi="Arial Narrow"/>
          <w:color w:val="FF0000"/>
          <w:sz w:val="28"/>
          <w:szCs w:val="28"/>
        </w:rPr>
      </w:pPr>
    </w:p>
    <w:p w14:paraId="7D7C5C75">
      <w:pPr>
        <w:widowControl/>
        <w:autoSpaceDE w:val="0"/>
        <w:autoSpaceDN w:val="0"/>
        <w:ind w:right="239"/>
        <w:jc w:val="center"/>
        <w:textAlignment w:val="bottom"/>
        <w:rPr>
          <w:rFonts w:ascii="Arial Narrow" w:hAnsi="Arial Narrow"/>
          <w:color w:val="FF0000"/>
          <w:sz w:val="28"/>
          <w:szCs w:val="28"/>
        </w:rPr>
      </w:pPr>
    </w:p>
    <w:p w14:paraId="26F3F828">
      <w:pPr>
        <w:widowControl/>
        <w:autoSpaceDE w:val="0"/>
        <w:autoSpaceDN w:val="0"/>
        <w:ind w:right="239"/>
        <w:jc w:val="center"/>
        <w:textAlignment w:val="bottom"/>
        <w:rPr>
          <w:rFonts w:ascii="Arial Narrow" w:hAnsi="Arial Narrow"/>
          <w:color w:val="FF0000"/>
          <w:sz w:val="28"/>
          <w:szCs w:val="28"/>
        </w:rPr>
      </w:pPr>
    </w:p>
    <w:p w14:paraId="7883CF8C">
      <w:pPr>
        <w:widowControl/>
        <w:autoSpaceDE w:val="0"/>
        <w:autoSpaceDN w:val="0"/>
        <w:ind w:right="239"/>
        <w:jc w:val="center"/>
        <w:textAlignment w:val="bottom"/>
        <w:rPr>
          <w:rFonts w:ascii="Arial Narrow" w:hAnsi="Arial Narrow"/>
          <w:color w:val="FF0000"/>
          <w:sz w:val="28"/>
          <w:szCs w:val="28"/>
        </w:rPr>
      </w:pPr>
    </w:p>
    <w:p w14:paraId="73BE36D3">
      <w:pPr>
        <w:widowControl/>
        <w:autoSpaceDE w:val="0"/>
        <w:autoSpaceDN w:val="0"/>
        <w:ind w:right="239"/>
        <w:jc w:val="center"/>
        <w:textAlignment w:val="bottom"/>
        <w:rPr>
          <w:rFonts w:ascii="Arial Narrow" w:hAnsi="Arial Narrow"/>
          <w:color w:val="FF0000"/>
          <w:sz w:val="28"/>
          <w:szCs w:val="28"/>
        </w:rPr>
      </w:pPr>
    </w:p>
    <w:p w14:paraId="634A3E5A">
      <w:pPr>
        <w:widowControl/>
        <w:autoSpaceDE w:val="0"/>
        <w:autoSpaceDN w:val="0"/>
        <w:ind w:right="239"/>
        <w:jc w:val="center"/>
        <w:textAlignment w:val="bottom"/>
        <w:rPr>
          <w:rFonts w:ascii="Arial Narrow" w:hAnsi="Arial Narrow"/>
          <w:color w:val="FF0000"/>
          <w:sz w:val="28"/>
          <w:szCs w:val="28"/>
        </w:rPr>
      </w:pPr>
    </w:p>
    <w:p w14:paraId="3246ECB8">
      <w:pPr>
        <w:widowControl/>
        <w:autoSpaceDE w:val="0"/>
        <w:autoSpaceDN w:val="0"/>
        <w:ind w:right="239"/>
        <w:jc w:val="center"/>
        <w:textAlignment w:val="bottom"/>
        <w:rPr>
          <w:rFonts w:ascii="Arial Narrow" w:hAnsi="Arial Narrow"/>
          <w:color w:val="FF0000"/>
          <w:sz w:val="28"/>
          <w:szCs w:val="28"/>
        </w:rPr>
      </w:pPr>
    </w:p>
    <w:p w14:paraId="65F42981">
      <w:pPr>
        <w:widowControl/>
        <w:autoSpaceDE w:val="0"/>
        <w:autoSpaceDN w:val="0"/>
        <w:ind w:right="238"/>
        <w:jc w:val="center"/>
        <w:textAlignment w:val="bottom"/>
        <w:rPr>
          <w:rFonts w:hint="eastAsia" w:asciiTheme="minorEastAsia" w:hAnsiTheme="minorEastAsia" w:eastAsiaTheme="minorEastAsia"/>
          <w:b/>
          <w:color w:val="000000" w:themeColor="text1"/>
          <w:sz w:val="30"/>
          <w:szCs w:val="30"/>
          <w14:textFill>
            <w14:solidFill>
              <w14:schemeClr w14:val="tx1"/>
            </w14:solidFill>
          </w14:textFill>
        </w:rPr>
      </w:pPr>
      <w:r>
        <w:rPr>
          <w:rFonts w:ascii="Arial Narrow" w:hAnsi="Arial Narrow"/>
          <w:b/>
          <w:color w:val="000000" w:themeColor="text1"/>
          <w:sz w:val="30"/>
          <w:szCs w:val="30"/>
          <w14:textFill>
            <w14:solidFill>
              <w14:schemeClr w14:val="tx1"/>
            </w14:solidFill>
          </w14:textFill>
        </w:rPr>
        <w:t>评</w:t>
      </w:r>
      <w:r>
        <w:rPr>
          <w:rFonts w:asciiTheme="minorEastAsia" w:hAnsiTheme="minorEastAsia" w:eastAsiaTheme="minorEastAsia"/>
          <w:b/>
          <w:color w:val="000000" w:themeColor="text1"/>
          <w:sz w:val="30"/>
          <w:szCs w:val="30"/>
          <w14:textFill>
            <w14:solidFill>
              <w14:schemeClr w14:val="tx1"/>
            </w14:solidFill>
          </w14:textFill>
        </w:rPr>
        <w:t>估机构名称：</w:t>
      </w:r>
      <w:r>
        <w:rPr>
          <w:rFonts w:hint="eastAsia" w:asciiTheme="minorEastAsia" w:hAnsiTheme="minorEastAsia" w:eastAsiaTheme="minorEastAsia"/>
          <w:b/>
          <w:color w:val="000000" w:themeColor="text1"/>
          <w:sz w:val="30"/>
          <w:szCs w:val="30"/>
          <w14:textFill>
            <w14:solidFill>
              <w14:schemeClr w14:val="tx1"/>
            </w14:solidFill>
          </w14:textFill>
        </w:rPr>
        <w:t>安徽省茂福资产评估事务所（有限合伙）</w:t>
      </w:r>
    </w:p>
    <w:p w14:paraId="62E931D2">
      <w:pPr>
        <w:widowControl/>
        <w:autoSpaceDE w:val="0"/>
        <w:autoSpaceDN w:val="0"/>
        <w:ind w:right="238" w:firstLine="1329"/>
        <w:textAlignment w:val="bottom"/>
        <w:rPr>
          <w:rFonts w:hint="eastAsia" w:asciiTheme="minorEastAsia" w:hAnsiTheme="minorEastAsia" w:eastAsiaTheme="minorEastAsia"/>
          <w:b/>
          <w:sz w:val="28"/>
          <w:szCs w:val="28"/>
        </w:rPr>
      </w:pPr>
      <w:r>
        <w:rPr>
          <w:rFonts w:asciiTheme="minorEastAsia" w:hAnsiTheme="minorEastAsia" w:eastAsiaTheme="minorEastAsia"/>
          <w:b/>
          <w:sz w:val="30"/>
          <w:szCs w:val="30"/>
        </w:rPr>
        <w:t>报告提交日期：二〇</w:t>
      </w:r>
      <w:r>
        <w:rPr>
          <w:rFonts w:hint="eastAsia" w:asciiTheme="minorEastAsia" w:hAnsiTheme="minorEastAsia" w:eastAsiaTheme="minorEastAsia"/>
          <w:b/>
          <w:sz w:val="30"/>
          <w:szCs w:val="30"/>
        </w:rPr>
        <w:t>二五</w:t>
      </w:r>
      <w:r>
        <w:rPr>
          <w:rFonts w:asciiTheme="minorEastAsia" w:hAnsiTheme="minorEastAsia" w:eastAsiaTheme="minorEastAsia"/>
          <w:b/>
          <w:sz w:val="30"/>
          <w:szCs w:val="30"/>
        </w:rPr>
        <w:t>年</w:t>
      </w:r>
      <w:r>
        <w:rPr>
          <w:rFonts w:hint="eastAsia" w:asciiTheme="minorEastAsia" w:hAnsiTheme="minorEastAsia" w:eastAsiaTheme="minorEastAsia"/>
          <w:b/>
          <w:sz w:val="30"/>
          <w:szCs w:val="30"/>
        </w:rPr>
        <w:t>十二</w:t>
      </w:r>
      <w:r>
        <w:rPr>
          <w:rFonts w:asciiTheme="minorEastAsia" w:hAnsiTheme="minorEastAsia" w:eastAsiaTheme="minorEastAsia"/>
          <w:b/>
          <w:sz w:val="30"/>
          <w:szCs w:val="30"/>
        </w:rPr>
        <w:t>月</w:t>
      </w:r>
      <w:r>
        <w:rPr>
          <w:rFonts w:hint="eastAsia" w:asciiTheme="minorEastAsia" w:hAnsiTheme="minorEastAsia" w:eastAsiaTheme="minorEastAsia"/>
          <w:b/>
          <w:sz w:val="30"/>
          <w:szCs w:val="30"/>
        </w:rPr>
        <w:t>九</w:t>
      </w:r>
      <w:r>
        <w:rPr>
          <w:rFonts w:asciiTheme="minorEastAsia" w:hAnsiTheme="minorEastAsia" w:eastAsiaTheme="minorEastAsia"/>
          <w:b/>
          <w:sz w:val="30"/>
          <w:szCs w:val="30"/>
        </w:rPr>
        <w:t>日</w:t>
      </w:r>
    </w:p>
    <w:p w14:paraId="27293E13">
      <w:pPr>
        <w:widowControl/>
        <w:autoSpaceDE w:val="0"/>
        <w:autoSpaceDN w:val="0"/>
        <w:ind w:right="238"/>
        <w:jc w:val="center"/>
        <w:textAlignment w:val="bottom"/>
        <w:rPr>
          <w:rFonts w:ascii="Arial Narrow" w:hAnsi="Arial Narrow"/>
          <w:b/>
          <w:sz w:val="28"/>
          <w:szCs w:val="28"/>
        </w:rPr>
        <w:sectPr>
          <w:headerReference r:id="rId5" w:type="first"/>
          <w:footerReference r:id="rId8" w:type="first"/>
          <w:headerReference r:id="rId3" w:type="default"/>
          <w:footerReference r:id="rId6" w:type="default"/>
          <w:headerReference r:id="rId4" w:type="even"/>
          <w:footerReference r:id="rId7" w:type="even"/>
          <w:pgSz w:w="11907" w:h="16840"/>
          <w:pgMar w:top="1134" w:right="1134" w:bottom="1021" w:left="1588" w:header="964" w:footer="964" w:gutter="0"/>
          <w:pgNumType w:start="1"/>
          <w:cols w:space="720" w:num="1"/>
          <w:titlePg/>
          <w:docGrid w:linePitch="462" w:charSpace="0"/>
        </w:sectPr>
      </w:pPr>
    </w:p>
    <w:p w14:paraId="743F313F">
      <w:pPr>
        <w:spacing w:before="240" w:beforeLines="100" w:after="120" w:afterLines="50" w:line="360" w:lineRule="auto"/>
        <w:jc w:val="center"/>
        <w:rPr>
          <w:rFonts w:hint="eastAsia" w:ascii="黑体" w:hAnsi="黑体" w:eastAsia="黑体"/>
          <w:sz w:val="30"/>
          <w:szCs w:val="30"/>
        </w:rPr>
      </w:pPr>
      <w:r>
        <w:rPr>
          <w:rFonts w:ascii="黑体" w:hAnsi="黑体" w:eastAsia="黑体"/>
          <w:sz w:val="30"/>
          <w:szCs w:val="30"/>
        </w:rPr>
        <w:t>目录</w:t>
      </w:r>
    </w:p>
    <w:p w14:paraId="37512FA1">
      <w:pPr>
        <w:pStyle w:val="40"/>
        <w:spacing w:before="120"/>
        <w:ind w:firstLine="361"/>
        <w:rPr>
          <w:rFonts w:asciiTheme="minorHAnsi" w:hAnsiTheme="minorHAnsi" w:eastAsiaTheme="minorEastAsia" w:cstheme="minorBidi"/>
          <w:b w:val="0"/>
          <w:kern w:val="2"/>
          <w:sz w:val="21"/>
          <w:szCs w:val="22"/>
        </w:rPr>
      </w:pPr>
      <w:r>
        <w:fldChar w:fldCharType="begin"/>
      </w:r>
      <w:r>
        <w:instrText xml:space="preserve">TOC \o "1-2" \h \u </w:instrText>
      </w:r>
      <w:r>
        <w:fldChar w:fldCharType="separate"/>
      </w:r>
      <w:r>
        <w:fldChar w:fldCharType="begin"/>
      </w:r>
      <w:r>
        <w:instrText xml:space="preserve"> HYPERLINK \l "_Toc508451362" </w:instrText>
      </w:r>
      <w:r>
        <w:fldChar w:fldCharType="separate"/>
      </w:r>
      <w:r>
        <w:rPr>
          <w:rStyle w:val="65"/>
          <w:rFonts w:eastAsia="黑体"/>
        </w:rPr>
        <w:t>资产评估报告·声明</w:t>
      </w:r>
      <w:r>
        <w:tab/>
      </w:r>
      <w:r>
        <w:rPr>
          <w:rFonts w:asciiTheme="minorEastAsia" w:hAnsiTheme="minorEastAsia" w:eastAsiaTheme="minorEastAsia"/>
        </w:rPr>
        <w:fldChar w:fldCharType="begin"/>
      </w:r>
      <w:r>
        <w:rPr>
          <w:rFonts w:asciiTheme="minorEastAsia" w:hAnsiTheme="minorEastAsia" w:eastAsiaTheme="minorEastAsia"/>
        </w:rPr>
        <w:instrText xml:space="preserve"> PAGEREF _Toc508451362 \h </w:instrText>
      </w:r>
      <w:r>
        <w:rPr>
          <w:rFonts w:asciiTheme="minorEastAsia" w:hAnsiTheme="minorEastAsia" w:eastAsiaTheme="minorEastAsia"/>
        </w:rPr>
        <w:fldChar w:fldCharType="separate"/>
      </w:r>
      <w:r>
        <w:rPr>
          <w:rFonts w:hint="eastAsia" w:asciiTheme="minorEastAsia" w:hAnsiTheme="minorEastAsia" w:eastAsiaTheme="minorEastAsia"/>
        </w:rPr>
        <w:t>1</w:t>
      </w:r>
      <w:r>
        <w:rPr>
          <w:rFonts w:asciiTheme="minorEastAsia" w:hAnsiTheme="minorEastAsia" w:eastAsiaTheme="minorEastAsia"/>
        </w:rPr>
        <w:fldChar w:fldCharType="end"/>
      </w:r>
      <w:r>
        <w:rPr>
          <w:rFonts w:asciiTheme="minorEastAsia" w:hAnsiTheme="minorEastAsia" w:eastAsiaTheme="minorEastAsia"/>
        </w:rPr>
        <w:fldChar w:fldCharType="end"/>
      </w:r>
    </w:p>
    <w:p w14:paraId="409D0323">
      <w:pPr>
        <w:pStyle w:val="40"/>
        <w:spacing w:before="120"/>
        <w:ind w:firstLine="361"/>
        <w:rPr>
          <w:rFonts w:asciiTheme="minorHAnsi" w:hAnsiTheme="minorHAnsi" w:eastAsiaTheme="minorEastAsia" w:cstheme="minorBidi"/>
          <w:b w:val="0"/>
          <w:kern w:val="2"/>
          <w:sz w:val="21"/>
          <w:szCs w:val="22"/>
        </w:rPr>
      </w:pPr>
      <w:r>
        <w:fldChar w:fldCharType="begin"/>
      </w:r>
      <w:r>
        <w:instrText xml:space="preserve"> HYPERLINK \l "_Toc508451363" </w:instrText>
      </w:r>
      <w:r>
        <w:fldChar w:fldCharType="separate"/>
      </w:r>
      <w:r>
        <w:rPr>
          <w:rStyle w:val="65"/>
          <w:rFonts w:eastAsia="黑体"/>
        </w:rPr>
        <w:t>资产评估报告·摘要</w:t>
      </w:r>
      <w:r>
        <w:tab/>
      </w:r>
      <w:r>
        <w:rPr>
          <w:rFonts w:asciiTheme="minorEastAsia" w:hAnsiTheme="minorEastAsia" w:eastAsiaTheme="minorEastAsia"/>
        </w:rPr>
        <w:fldChar w:fldCharType="begin"/>
      </w:r>
      <w:r>
        <w:rPr>
          <w:rFonts w:asciiTheme="minorEastAsia" w:hAnsiTheme="minorEastAsia" w:eastAsiaTheme="minorEastAsia"/>
        </w:rPr>
        <w:instrText xml:space="preserve"> PAGEREF _Toc508451363 \h </w:instrText>
      </w:r>
      <w:r>
        <w:rPr>
          <w:rFonts w:asciiTheme="minorEastAsia" w:hAnsiTheme="minorEastAsia" w:eastAsiaTheme="minorEastAsia"/>
        </w:rPr>
        <w:fldChar w:fldCharType="separate"/>
      </w:r>
      <w:r>
        <w:rPr>
          <w:rFonts w:hint="eastAsia" w:asciiTheme="minorEastAsia" w:hAnsiTheme="minorEastAsia" w:eastAsiaTheme="minorEastAsia"/>
        </w:rPr>
        <w:t>2</w:t>
      </w:r>
      <w:r>
        <w:rPr>
          <w:rFonts w:asciiTheme="minorEastAsia" w:hAnsiTheme="minorEastAsia" w:eastAsiaTheme="minorEastAsia"/>
        </w:rPr>
        <w:fldChar w:fldCharType="end"/>
      </w:r>
      <w:r>
        <w:rPr>
          <w:rFonts w:asciiTheme="minorEastAsia" w:hAnsiTheme="minorEastAsia" w:eastAsiaTheme="minorEastAsia"/>
        </w:rPr>
        <w:fldChar w:fldCharType="end"/>
      </w:r>
    </w:p>
    <w:p w14:paraId="628E32C6">
      <w:pPr>
        <w:pStyle w:val="40"/>
        <w:spacing w:before="120"/>
        <w:ind w:firstLine="361"/>
        <w:rPr>
          <w:rFonts w:asciiTheme="minorHAnsi" w:hAnsiTheme="minorHAnsi" w:eastAsiaTheme="minorEastAsia" w:cstheme="minorBidi"/>
          <w:b w:val="0"/>
          <w:kern w:val="2"/>
          <w:sz w:val="21"/>
          <w:szCs w:val="22"/>
        </w:rPr>
      </w:pPr>
      <w:r>
        <w:fldChar w:fldCharType="begin"/>
      </w:r>
      <w:r>
        <w:instrText xml:space="preserve"> HYPERLINK \l "_Toc508451364" </w:instrText>
      </w:r>
      <w:r>
        <w:fldChar w:fldCharType="separate"/>
      </w:r>
      <w:r>
        <w:rPr>
          <w:rStyle w:val="65"/>
          <w:rFonts w:eastAsia="黑体"/>
        </w:rPr>
        <w:t>资产评估报告·正文</w:t>
      </w:r>
      <w:r>
        <w:tab/>
      </w:r>
      <w:r>
        <w:rPr>
          <w:rFonts w:asciiTheme="minorEastAsia" w:hAnsiTheme="minorEastAsia" w:eastAsiaTheme="minorEastAsia"/>
        </w:rPr>
        <w:fldChar w:fldCharType="begin"/>
      </w:r>
      <w:r>
        <w:rPr>
          <w:rFonts w:asciiTheme="minorEastAsia" w:hAnsiTheme="minorEastAsia" w:eastAsiaTheme="minorEastAsia"/>
        </w:rPr>
        <w:instrText xml:space="preserve"> PAGEREF _Toc508451364 \h </w:instrText>
      </w:r>
      <w:r>
        <w:rPr>
          <w:rFonts w:asciiTheme="minorEastAsia" w:hAnsiTheme="minorEastAsia" w:eastAsiaTheme="minorEastAsia"/>
        </w:rPr>
        <w:fldChar w:fldCharType="separate"/>
      </w:r>
      <w:r>
        <w:rPr>
          <w:rFonts w:hint="eastAsia" w:asciiTheme="minorEastAsia" w:hAnsiTheme="minorEastAsia" w:eastAsiaTheme="minorEastAsia"/>
        </w:rPr>
        <w:t>4</w:t>
      </w:r>
      <w:r>
        <w:rPr>
          <w:rFonts w:asciiTheme="minorEastAsia" w:hAnsiTheme="minorEastAsia" w:eastAsiaTheme="minorEastAsia"/>
        </w:rPr>
        <w:fldChar w:fldCharType="end"/>
      </w:r>
      <w:r>
        <w:rPr>
          <w:rFonts w:asciiTheme="minorEastAsia" w:hAnsiTheme="minorEastAsia" w:eastAsiaTheme="minorEastAsia"/>
        </w:rPr>
        <w:fldChar w:fldCharType="end"/>
      </w:r>
    </w:p>
    <w:p w14:paraId="043EC6B3">
      <w:pPr>
        <w:pStyle w:val="49"/>
        <w:rPr>
          <w:rFonts w:hint="eastAsia" w:asciiTheme="minorEastAsia" w:hAnsiTheme="minorEastAsia" w:eastAsiaTheme="minorEastAsia" w:cstheme="minorBidi"/>
          <w:kern w:val="2"/>
          <w:szCs w:val="22"/>
        </w:rPr>
      </w:pPr>
      <w:r>
        <w:fldChar w:fldCharType="begin"/>
      </w:r>
      <w:r>
        <w:instrText xml:space="preserve"> HYPERLINK \l "_Toc508451365" </w:instrText>
      </w:r>
      <w:r>
        <w:fldChar w:fldCharType="separate"/>
      </w:r>
      <w:r>
        <w:rPr>
          <w:rStyle w:val="65"/>
          <w:rFonts w:cs="Arial Narrow" w:asciiTheme="minorEastAsia" w:hAnsiTheme="minorEastAsia" w:eastAsiaTheme="minorEastAsia"/>
        </w:rPr>
        <w:t>一、</w:t>
      </w:r>
      <w:r>
        <w:rPr>
          <w:rFonts w:asciiTheme="minorEastAsia" w:hAnsiTheme="minorEastAsia" w:eastAsiaTheme="minorEastAsia" w:cstheme="minorBidi"/>
          <w:kern w:val="2"/>
          <w:szCs w:val="22"/>
        </w:rPr>
        <w:tab/>
      </w:r>
      <w:r>
        <w:rPr>
          <w:rStyle w:val="65"/>
          <w:rFonts w:cs="Arial Narrow" w:asciiTheme="minorEastAsia" w:hAnsiTheme="minorEastAsia" w:eastAsiaTheme="minorEastAsia"/>
        </w:rPr>
        <w:t>委托人、被评估单位及其他评估报告使用人</w:t>
      </w:r>
      <w:r>
        <w:rPr>
          <w:rFonts w:asciiTheme="minorEastAsia" w:hAnsiTheme="minorEastAsia" w:eastAsiaTheme="minorEastAsia"/>
        </w:rPr>
        <w:tab/>
      </w:r>
      <w:r>
        <w:rPr>
          <w:rFonts w:asciiTheme="minorEastAsia" w:hAnsiTheme="minorEastAsia" w:eastAsiaTheme="minorEastAsia"/>
        </w:rPr>
        <w:fldChar w:fldCharType="begin"/>
      </w:r>
      <w:r>
        <w:rPr>
          <w:rFonts w:asciiTheme="minorEastAsia" w:hAnsiTheme="minorEastAsia" w:eastAsiaTheme="minorEastAsia"/>
        </w:rPr>
        <w:instrText xml:space="preserve"> PAGEREF _Toc508451365 \h </w:instrText>
      </w:r>
      <w:r>
        <w:rPr>
          <w:rFonts w:asciiTheme="minorEastAsia" w:hAnsiTheme="minorEastAsia" w:eastAsiaTheme="minorEastAsia"/>
        </w:rPr>
        <w:fldChar w:fldCharType="separate"/>
      </w:r>
      <w:r>
        <w:rPr>
          <w:rFonts w:hint="eastAsia" w:asciiTheme="minorEastAsia" w:hAnsiTheme="minorEastAsia" w:eastAsiaTheme="minorEastAsia"/>
        </w:rPr>
        <w:t>4</w:t>
      </w:r>
      <w:r>
        <w:rPr>
          <w:rFonts w:asciiTheme="minorEastAsia" w:hAnsiTheme="minorEastAsia" w:eastAsiaTheme="minorEastAsia"/>
        </w:rPr>
        <w:fldChar w:fldCharType="end"/>
      </w:r>
      <w:r>
        <w:rPr>
          <w:rFonts w:asciiTheme="minorEastAsia" w:hAnsiTheme="minorEastAsia" w:eastAsiaTheme="minorEastAsia"/>
        </w:rPr>
        <w:fldChar w:fldCharType="end"/>
      </w:r>
    </w:p>
    <w:p w14:paraId="775982A9">
      <w:pPr>
        <w:pStyle w:val="49"/>
        <w:rPr>
          <w:rFonts w:hint="eastAsia" w:asciiTheme="minorEastAsia" w:hAnsiTheme="minorEastAsia" w:eastAsiaTheme="minorEastAsia" w:cstheme="minorBidi"/>
          <w:kern w:val="2"/>
          <w:szCs w:val="22"/>
        </w:rPr>
      </w:pPr>
      <w:r>
        <w:fldChar w:fldCharType="begin"/>
      </w:r>
      <w:r>
        <w:instrText xml:space="preserve"> HYPERLINK \l "_Toc508451366" </w:instrText>
      </w:r>
      <w:r>
        <w:fldChar w:fldCharType="separate"/>
      </w:r>
      <w:r>
        <w:rPr>
          <w:rStyle w:val="65"/>
          <w:rFonts w:cs="Arial Narrow" w:asciiTheme="minorEastAsia" w:hAnsiTheme="minorEastAsia" w:eastAsiaTheme="minorEastAsia"/>
        </w:rPr>
        <w:t>二、</w:t>
      </w:r>
      <w:r>
        <w:rPr>
          <w:rFonts w:asciiTheme="minorEastAsia" w:hAnsiTheme="minorEastAsia" w:eastAsiaTheme="minorEastAsia" w:cstheme="minorBidi"/>
          <w:kern w:val="2"/>
          <w:szCs w:val="22"/>
        </w:rPr>
        <w:tab/>
      </w:r>
      <w:r>
        <w:rPr>
          <w:rStyle w:val="65"/>
          <w:rFonts w:cs="Arial Narrow" w:asciiTheme="minorEastAsia" w:hAnsiTheme="minorEastAsia" w:eastAsiaTheme="minorEastAsia"/>
        </w:rPr>
        <w:t>评估目的</w:t>
      </w:r>
      <w:r>
        <w:rPr>
          <w:rFonts w:asciiTheme="minorEastAsia" w:hAnsiTheme="minorEastAsia" w:eastAsiaTheme="minorEastAsia"/>
        </w:rPr>
        <w:tab/>
      </w:r>
      <w:r>
        <w:rPr>
          <w:rFonts w:asciiTheme="minorEastAsia" w:hAnsiTheme="minorEastAsia" w:eastAsiaTheme="minorEastAsia"/>
        </w:rPr>
        <w:fldChar w:fldCharType="begin"/>
      </w:r>
      <w:r>
        <w:rPr>
          <w:rFonts w:asciiTheme="minorEastAsia" w:hAnsiTheme="minorEastAsia" w:eastAsiaTheme="minorEastAsia"/>
        </w:rPr>
        <w:instrText xml:space="preserve"> PAGEREF _Toc508451366 \h </w:instrText>
      </w:r>
      <w:r>
        <w:rPr>
          <w:rFonts w:asciiTheme="minorEastAsia" w:hAnsiTheme="minorEastAsia" w:eastAsiaTheme="minorEastAsia"/>
        </w:rPr>
        <w:fldChar w:fldCharType="separate"/>
      </w:r>
      <w:r>
        <w:rPr>
          <w:rFonts w:hint="eastAsia" w:asciiTheme="minorEastAsia" w:hAnsiTheme="minorEastAsia" w:eastAsiaTheme="minorEastAsia"/>
        </w:rPr>
        <w:t>7</w:t>
      </w:r>
      <w:r>
        <w:rPr>
          <w:rFonts w:asciiTheme="minorEastAsia" w:hAnsiTheme="minorEastAsia" w:eastAsiaTheme="minorEastAsia"/>
        </w:rPr>
        <w:fldChar w:fldCharType="end"/>
      </w:r>
      <w:r>
        <w:rPr>
          <w:rFonts w:asciiTheme="minorEastAsia" w:hAnsiTheme="minorEastAsia" w:eastAsiaTheme="minorEastAsia"/>
        </w:rPr>
        <w:fldChar w:fldCharType="end"/>
      </w:r>
    </w:p>
    <w:p w14:paraId="3FF69218">
      <w:pPr>
        <w:pStyle w:val="49"/>
        <w:rPr>
          <w:rFonts w:hint="eastAsia" w:asciiTheme="minorEastAsia" w:hAnsiTheme="minorEastAsia" w:eastAsiaTheme="minorEastAsia" w:cstheme="minorBidi"/>
          <w:kern w:val="2"/>
          <w:szCs w:val="22"/>
        </w:rPr>
      </w:pPr>
      <w:r>
        <w:fldChar w:fldCharType="begin"/>
      </w:r>
      <w:r>
        <w:instrText xml:space="preserve"> HYPERLINK \l "_Toc508451367" </w:instrText>
      </w:r>
      <w:r>
        <w:fldChar w:fldCharType="separate"/>
      </w:r>
      <w:r>
        <w:rPr>
          <w:rStyle w:val="65"/>
          <w:rFonts w:cs="Arial Narrow" w:asciiTheme="minorEastAsia" w:hAnsiTheme="minorEastAsia" w:eastAsiaTheme="minorEastAsia"/>
        </w:rPr>
        <w:t>三、</w:t>
      </w:r>
      <w:r>
        <w:rPr>
          <w:rFonts w:asciiTheme="minorEastAsia" w:hAnsiTheme="minorEastAsia" w:eastAsiaTheme="minorEastAsia" w:cstheme="minorBidi"/>
          <w:kern w:val="2"/>
          <w:szCs w:val="22"/>
        </w:rPr>
        <w:tab/>
      </w:r>
      <w:r>
        <w:rPr>
          <w:rStyle w:val="65"/>
          <w:rFonts w:cs="Arial Narrow" w:asciiTheme="minorEastAsia" w:hAnsiTheme="minorEastAsia" w:eastAsiaTheme="minorEastAsia"/>
        </w:rPr>
        <w:t>关于评估对象和评估范围的说明</w:t>
      </w:r>
      <w:r>
        <w:rPr>
          <w:rFonts w:asciiTheme="minorEastAsia" w:hAnsiTheme="minorEastAsia" w:eastAsiaTheme="minorEastAsia"/>
        </w:rPr>
        <w:tab/>
      </w:r>
      <w:r>
        <w:rPr>
          <w:rFonts w:asciiTheme="minorEastAsia" w:hAnsiTheme="minorEastAsia" w:eastAsiaTheme="minorEastAsia"/>
        </w:rPr>
        <w:fldChar w:fldCharType="begin"/>
      </w:r>
      <w:r>
        <w:rPr>
          <w:rFonts w:asciiTheme="minorEastAsia" w:hAnsiTheme="minorEastAsia" w:eastAsiaTheme="minorEastAsia"/>
        </w:rPr>
        <w:instrText xml:space="preserve"> PAGEREF _Toc508451367 \h </w:instrText>
      </w:r>
      <w:r>
        <w:rPr>
          <w:rFonts w:asciiTheme="minorEastAsia" w:hAnsiTheme="minorEastAsia" w:eastAsiaTheme="minorEastAsia"/>
        </w:rPr>
        <w:fldChar w:fldCharType="separate"/>
      </w:r>
      <w:r>
        <w:rPr>
          <w:rFonts w:hint="eastAsia" w:asciiTheme="minorEastAsia" w:hAnsiTheme="minorEastAsia" w:eastAsiaTheme="minorEastAsia"/>
        </w:rPr>
        <w:t>7</w:t>
      </w:r>
      <w:r>
        <w:rPr>
          <w:rFonts w:asciiTheme="minorEastAsia" w:hAnsiTheme="minorEastAsia" w:eastAsiaTheme="minorEastAsia"/>
        </w:rPr>
        <w:fldChar w:fldCharType="end"/>
      </w:r>
      <w:r>
        <w:rPr>
          <w:rFonts w:asciiTheme="minorEastAsia" w:hAnsiTheme="minorEastAsia" w:eastAsiaTheme="minorEastAsia"/>
        </w:rPr>
        <w:fldChar w:fldCharType="end"/>
      </w:r>
    </w:p>
    <w:p w14:paraId="714F7091">
      <w:pPr>
        <w:pStyle w:val="49"/>
        <w:rPr>
          <w:rFonts w:hint="eastAsia" w:asciiTheme="minorEastAsia" w:hAnsiTheme="minorEastAsia" w:eastAsiaTheme="minorEastAsia" w:cstheme="minorBidi"/>
          <w:kern w:val="2"/>
          <w:szCs w:val="22"/>
        </w:rPr>
      </w:pPr>
      <w:r>
        <w:fldChar w:fldCharType="begin"/>
      </w:r>
      <w:r>
        <w:instrText xml:space="preserve"> HYPERLINK \l "_Toc508451368" </w:instrText>
      </w:r>
      <w:r>
        <w:fldChar w:fldCharType="separate"/>
      </w:r>
      <w:r>
        <w:rPr>
          <w:rStyle w:val="65"/>
          <w:rFonts w:cs="Arial Narrow" w:asciiTheme="minorEastAsia" w:hAnsiTheme="minorEastAsia" w:eastAsiaTheme="minorEastAsia"/>
        </w:rPr>
        <w:t>四、</w:t>
      </w:r>
      <w:r>
        <w:rPr>
          <w:rFonts w:asciiTheme="minorEastAsia" w:hAnsiTheme="minorEastAsia" w:eastAsiaTheme="minorEastAsia" w:cstheme="minorBidi"/>
          <w:kern w:val="2"/>
          <w:szCs w:val="22"/>
        </w:rPr>
        <w:tab/>
      </w:r>
      <w:r>
        <w:rPr>
          <w:rStyle w:val="65"/>
          <w:rFonts w:cs="Arial Narrow" w:asciiTheme="minorEastAsia" w:hAnsiTheme="minorEastAsia" w:eastAsiaTheme="minorEastAsia"/>
        </w:rPr>
        <w:t>价值类型及其定义</w:t>
      </w:r>
      <w:r>
        <w:rPr>
          <w:rFonts w:asciiTheme="minorEastAsia" w:hAnsiTheme="minorEastAsia" w:eastAsiaTheme="minorEastAsia"/>
        </w:rPr>
        <w:tab/>
      </w:r>
      <w:r>
        <w:rPr>
          <w:rFonts w:asciiTheme="minorEastAsia" w:hAnsiTheme="minorEastAsia" w:eastAsiaTheme="minorEastAsia"/>
        </w:rPr>
        <w:fldChar w:fldCharType="begin"/>
      </w:r>
      <w:r>
        <w:rPr>
          <w:rFonts w:asciiTheme="minorEastAsia" w:hAnsiTheme="minorEastAsia" w:eastAsiaTheme="minorEastAsia"/>
        </w:rPr>
        <w:instrText xml:space="preserve"> PAGEREF _Toc508451368 \h </w:instrText>
      </w:r>
      <w:r>
        <w:rPr>
          <w:rFonts w:asciiTheme="minorEastAsia" w:hAnsiTheme="minorEastAsia" w:eastAsiaTheme="minorEastAsia"/>
        </w:rPr>
        <w:fldChar w:fldCharType="separate"/>
      </w:r>
      <w:r>
        <w:rPr>
          <w:rFonts w:hint="eastAsia" w:asciiTheme="minorEastAsia" w:hAnsiTheme="minorEastAsia" w:eastAsiaTheme="minorEastAsia"/>
        </w:rPr>
        <w:t>8</w:t>
      </w:r>
      <w:r>
        <w:rPr>
          <w:rFonts w:asciiTheme="minorEastAsia" w:hAnsiTheme="minorEastAsia" w:eastAsiaTheme="minorEastAsia"/>
        </w:rPr>
        <w:fldChar w:fldCharType="end"/>
      </w:r>
      <w:r>
        <w:rPr>
          <w:rFonts w:asciiTheme="minorEastAsia" w:hAnsiTheme="minorEastAsia" w:eastAsiaTheme="minorEastAsia"/>
        </w:rPr>
        <w:fldChar w:fldCharType="end"/>
      </w:r>
    </w:p>
    <w:p w14:paraId="0F9E6051">
      <w:pPr>
        <w:pStyle w:val="49"/>
        <w:rPr>
          <w:rFonts w:hint="eastAsia" w:asciiTheme="minorEastAsia" w:hAnsiTheme="minorEastAsia" w:eastAsiaTheme="minorEastAsia" w:cstheme="minorBidi"/>
          <w:kern w:val="2"/>
          <w:szCs w:val="22"/>
        </w:rPr>
      </w:pPr>
      <w:r>
        <w:fldChar w:fldCharType="begin"/>
      </w:r>
      <w:r>
        <w:instrText xml:space="preserve"> HYPERLINK \l "_Toc508451369" </w:instrText>
      </w:r>
      <w:r>
        <w:fldChar w:fldCharType="separate"/>
      </w:r>
      <w:r>
        <w:rPr>
          <w:rStyle w:val="65"/>
          <w:rFonts w:cs="Arial Narrow" w:asciiTheme="minorEastAsia" w:hAnsiTheme="minorEastAsia" w:eastAsiaTheme="minorEastAsia"/>
        </w:rPr>
        <w:t>五、</w:t>
      </w:r>
      <w:r>
        <w:rPr>
          <w:rFonts w:asciiTheme="minorEastAsia" w:hAnsiTheme="minorEastAsia" w:eastAsiaTheme="minorEastAsia" w:cstheme="minorBidi"/>
          <w:kern w:val="2"/>
          <w:szCs w:val="22"/>
        </w:rPr>
        <w:tab/>
      </w:r>
      <w:r>
        <w:rPr>
          <w:rStyle w:val="65"/>
          <w:rFonts w:cs="Arial Narrow" w:asciiTheme="minorEastAsia" w:hAnsiTheme="minorEastAsia" w:eastAsiaTheme="minorEastAsia"/>
        </w:rPr>
        <w:t>评估基准日</w:t>
      </w:r>
      <w:r>
        <w:rPr>
          <w:rFonts w:asciiTheme="minorEastAsia" w:hAnsiTheme="minorEastAsia" w:eastAsiaTheme="minorEastAsia"/>
        </w:rPr>
        <w:tab/>
      </w:r>
      <w:r>
        <w:rPr>
          <w:rFonts w:asciiTheme="minorEastAsia" w:hAnsiTheme="minorEastAsia" w:eastAsiaTheme="minorEastAsia"/>
        </w:rPr>
        <w:fldChar w:fldCharType="begin"/>
      </w:r>
      <w:r>
        <w:rPr>
          <w:rFonts w:asciiTheme="minorEastAsia" w:hAnsiTheme="minorEastAsia" w:eastAsiaTheme="minorEastAsia"/>
        </w:rPr>
        <w:instrText xml:space="preserve"> PAGEREF _Toc508451369 \h </w:instrText>
      </w:r>
      <w:r>
        <w:rPr>
          <w:rFonts w:asciiTheme="minorEastAsia" w:hAnsiTheme="minorEastAsia" w:eastAsiaTheme="minorEastAsia"/>
        </w:rPr>
        <w:fldChar w:fldCharType="separate"/>
      </w:r>
      <w:r>
        <w:rPr>
          <w:rFonts w:hint="eastAsia" w:asciiTheme="minorEastAsia" w:hAnsiTheme="minorEastAsia" w:eastAsiaTheme="minorEastAsia"/>
        </w:rPr>
        <w:t>8</w:t>
      </w:r>
      <w:r>
        <w:rPr>
          <w:rFonts w:asciiTheme="minorEastAsia" w:hAnsiTheme="minorEastAsia" w:eastAsiaTheme="minorEastAsia"/>
        </w:rPr>
        <w:fldChar w:fldCharType="end"/>
      </w:r>
      <w:r>
        <w:rPr>
          <w:rFonts w:asciiTheme="minorEastAsia" w:hAnsiTheme="minorEastAsia" w:eastAsiaTheme="minorEastAsia"/>
        </w:rPr>
        <w:fldChar w:fldCharType="end"/>
      </w:r>
    </w:p>
    <w:p w14:paraId="49E1BDCB">
      <w:pPr>
        <w:pStyle w:val="49"/>
        <w:rPr>
          <w:rFonts w:hint="eastAsia" w:asciiTheme="minorEastAsia" w:hAnsiTheme="minorEastAsia" w:eastAsiaTheme="minorEastAsia" w:cstheme="minorBidi"/>
          <w:kern w:val="2"/>
          <w:szCs w:val="22"/>
        </w:rPr>
      </w:pPr>
      <w:r>
        <w:fldChar w:fldCharType="begin"/>
      </w:r>
      <w:r>
        <w:instrText xml:space="preserve"> HYPERLINK \l "_Toc508451370" </w:instrText>
      </w:r>
      <w:r>
        <w:fldChar w:fldCharType="separate"/>
      </w:r>
      <w:r>
        <w:rPr>
          <w:rStyle w:val="65"/>
          <w:rFonts w:cs="Arial Narrow" w:asciiTheme="minorEastAsia" w:hAnsiTheme="minorEastAsia" w:eastAsiaTheme="minorEastAsia"/>
        </w:rPr>
        <w:t>六、</w:t>
      </w:r>
      <w:r>
        <w:rPr>
          <w:rFonts w:asciiTheme="minorEastAsia" w:hAnsiTheme="minorEastAsia" w:eastAsiaTheme="minorEastAsia" w:cstheme="minorBidi"/>
          <w:kern w:val="2"/>
          <w:szCs w:val="22"/>
        </w:rPr>
        <w:tab/>
      </w:r>
      <w:r>
        <w:rPr>
          <w:rStyle w:val="65"/>
          <w:rFonts w:cs="Arial Narrow" w:asciiTheme="minorEastAsia" w:hAnsiTheme="minorEastAsia" w:eastAsiaTheme="minorEastAsia"/>
        </w:rPr>
        <w:t>评估依据</w:t>
      </w:r>
      <w:r>
        <w:rPr>
          <w:rFonts w:asciiTheme="minorEastAsia" w:hAnsiTheme="minorEastAsia" w:eastAsiaTheme="minorEastAsia"/>
        </w:rPr>
        <w:tab/>
      </w:r>
      <w:r>
        <w:rPr>
          <w:rFonts w:asciiTheme="minorEastAsia" w:hAnsiTheme="minorEastAsia" w:eastAsiaTheme="minorEastAsia"/>
        </w:rPr>
        <w:fldChar w:fldCharType="begin"/>
      </w:r>
      <w:r>
        <w:rPr>
          <w:rFonts w:asciiTheme="minorEastAsia" w:hAnsiTheme="minorEastAsia" w:eastAsiaTheme="minorEastAsia"/>
        </w:rPr>
        <w:instrText xml:space="preserve"> PAGEREF _Toc508451370 \h </w:instrText>
      </w:r>
      <w:r>
        <w:rPr>
          <w:rFonts w:asciiTheme="minorEastAsia" w:hAnsiTheme="minorEastAsia" w:eastAsiaTheme="minorEastAsia"/>
        </w:rPr>
        <w:fldChar w:fldCharType="separate"/>
      </w:r>
      <w:r>
        <w:rPr>
          <w:rFonts w:hint="eastAsia" w:asciiTheme="minorEastAsia" w:hAnsiTheme="minorEastAsia" w:eastAsiaTheme="minorEastAsia"/>
        </w:rPr>
        <w:t>8</w:t>
      </w:r>
      <w:r>
        <w:rPr>
          <w:rFonts w:asciiTheme="minorEastAsia" w:hAnsiTheme="minorEastAsia" w:eastAsiaTheme="minorEastAsia"/>
        </w:rPr>
        <w:fldChar w:fldCharType="end"/>
      </w:r>
      <w:r>
        <w:rPr>
          <w:rFonts w:asciiTheme="minorEastAsia" w:hAnsiTheme="minorEastAsia" w:eastAsiaTheme="minorEastAsia"/>
        </w:rPr>
        <w:fldChar w:fldCharType="end"/>
      </w:r>
    </w:p>
    <w:p w14:paraId="743B01B0">
      <w:pPr>
        <w:pStyle w:val="49"/>
        <w:rPr>
          <w:rFonts w:hint="eastAsia" w:asciiTheme="minorEastAsia" w:hAnsiTheme="minorEastAsia" w:eastAsiaTheme="minorEastAsia" w:cstheme="minorBidi"/>
          <w:kern w:val="2"/>
          <w:szCs w:val="22"/>
        </w:rPr>
      </w:pPr>
      <w:r>
        <w:fldChar w:fldCharType="begin"/>
      </w:r>
      <w:r>
        <w:instrText xml:space="preserve"> HYPERLINK \l "_Toc508451371" </w:instrText>
      </w:r>
      <w:r>
        <w:fldChar w:fldCharType="separate"/>
      </w:r>
      <w:r>
        <w:rPr>
          <w:rStyle w:val="65"/>
          <w:rFonts w:cs="Arial Narrow" w:asciiTheme="minorEastAsia" w:hAnsiTheme="minorEastAsia" w:eastAsiaTheme="minorEastAsia"/>
        </w:rPr>
        <w:t>七、</w:t>
      </w:r>
      <w:r>
        <w:rPr>
          <w:rFonts w:asciiTheme="minorEastAsia" w:hAnsiTheme="minorEastAsia" w:eastAsiaTheme="minorEastAsia" w:cstheme="minorBidi"/>
          <w:kern w:val="2"/>
          <w:szCs w:val="22"/>
        </w:rPr>
        <w:tab/>
      </w:r>
      <w:r>
        <w:rPr>
          <w:rStyle w:val="65"/>
          <w:rFonts w:cs="Arial Narrow" w:asciiTheme="minorEastAsia" w:hAnsiTheme="minorEastAsia" w:eastAsiaTheme="minorEastAsia"/>
        </w:rPr>
        <w:t>评估方法</w:t>
      </w:r>
      <w:r>
        <w:rPr>
          <w:rFonts w:asciiTheme="minorEastAsia" w:hAnsiTheme="minorEastAsia" w:eastAsiaTheme="minorEastAsia"/>
        </w:rPr>
        <w:tab/>
      </w:r>
      <w:r>
        <w:rPr>
          <w:rFonts w:asciiTheme="minorEastAsia" w:hAnsiTheme="minorEastAsia" w:eastAsiaTheme="minorEastAsia"/>
        </w:rPr>
        <w:fldChar w:fldCharType="begin"/>
      </w:r>
      <w:r>
        <w:rPr>
          <w:rFonts w:asciiTheme="minorEastAsia" w:hAnsiTheme="minorEastAsia" w:eastAsiaTheme="minorEastAsia"/>
        </w:rPr>
        <w:instrText xml:space="preserve"> PAGEREF _Toc508451371 \h </w:instrText>
      </w:r>
      <w:r>
        <w:rPr>
          <w:rFonts w:asciiTheme="minorEastAsia" w:hAnsiTheme="minorEastAsia" w:eastAsiaTheme="minorEastAsia"/>
        </w:rPr>
        <w:fldChar w:fldCharType="separate"/>
      </w:r>
      <w:r>
        <w:rPr>
          <w:rFonts w:hint="eastAsia" w:asciiTheme="minorEastAsia" w:hAnsiTheme="minorEastAsia" w:eastAsiaTheme="minorEastAsia"/>
        </w:rPr>
        <w:t>10</w:t>
      </w:r>
      <w:r>
        <w:rPr>
          <w:rFonts w:asciiTheme="minorEastAsia" w:hAnsiTheme="minorEastAsia" w:eastAsiaTheme="minorEastAsia"/>
        </w:rPr>
        <w:fldChar w:fldCharType="end"/>
      </w:r>
      <w:r>
        <w:rPr>
          <w:rFonts w:asciiTheme="minorEastAsia" w:hAnsiTheme="minorEastAsia" w:eastAsiaTheme="minorEastAsia"/>
        </w:rPr>
        <w:fldChar w:fldCharType="end"/>
      </w:r>
    </w:p>
    <w:p w14:paraId="16BCC130">
      <w:pPr>
        <w:pStyle w:val="49"/>
        <w:rPr>
          <w:rFonts w:hint="eastAsia" w:asciiTheme="minorEastAsia" w:hAnsiTheme="minorEastAsia" w:eastAsiaTheme="minorEastAsia" w:cstheme="minorBidi"/>
          <w:kern w:val="2"/>
          <w:szCs w:val="22"/>
        </w:rPr>
      </w:pPr>
      <w:r>
        <w:fldChar w:fldCharType="begin"/>
      </w:r>
      <w:r>
        <w:instrText xml:space="preserve"> HYPERLINK \l "_Toc508451372" </w:instrText>
      </w:r>
      <w:r>
        <w:fldChar w:fldCharType="separate"/>
      </w:r>
      <w:r>
        <w:rPr>
          <w:rStyle w:val="65"/>
          <w:rFonts w:cs="Arial Narrow" w:asciiTheme="minorEastAsia" w:hAnsiTheme="minorEastAsia" w:eastAsiaTheme="minorEastAsia"/>
        </w:rPr>
        <w:t>八、</w:t>
      </w:r>
      <w:r>
        <w:rPr>
          <w:rFonts w:asciiTheme="minorEastAsia" w:hAnsiTheme="minorEastAsia" w:eastAsiaTheme="minorEastAsia" w:cstheme="minorBidi"/>
          <w:kern w:val="2"/>
          <w:szCs w:val="22"/>
        </w:rPr>
        <w:tab/>
      </w:r>
      <w:r>
        <w:rPr>
          <w:rStyle w:val="65"/>
          <w:rFonts w:cs="Arial Narrow" w:asciiTheme="minorEastAsia" w:hAnsiTheme="minorEastAsia" w:eastAsiaTheme="minorEastAsia"/>
        </w:rPr>
        <w:t>评估程序实施过程和情况</w:t>
      </w:r>
      <w:r>
        <w:rPr>
          <w:rFonts w:asciiTheme="minorEastAsia" w:hAnsiTheme="minorEastAsia" w:eastAsiaTheme="minorEastAsia"/>
        </w:rPr>
        <w:tab/>
      </w:r>
      <w:r>
        <w:rPr>
          <w:rFonts w:asciiTheme="minorEastAsia" w:hAnsiTheme="minorEastAsia" w:eastAsiaTheme="minorEastAsia"/>
        </w:rPr>
        <w:fldChar w:fldCharType="begin"/>
      </w:r>
      <w:r>
        <w:rPr>
          <w:rFonts w:asciiTheme="minorEastAsia" w:hAnsiTheme="minorEastAsia" w:eastAsiaTheme="minorEastAsia"/>
        </w:rPr>
        <w:instrText xml:space="preserve"> PAGEREF _Toc508451372 \h </w:instrText>
      </w:r>
      <w:r>
        <w:rPr>
          <w:rFonts w:asciiTheme="minorEastAsia" w:hAnsiTheme="minorEastAsia" w:eastAsiaTheme="minorEastAsia"/>
        </w:rPr>
        <w:fldChar w:fldCharType="separate"/>
      </w:r>
      <w:r>
        <w:rPr>
          <w:rFonts w:hint="eastAsia" w:asciiTheme="minorEastAsia" w:hAnsiTheme="minorEastAsia" w:eastAsiaTheme="minorEastAsia"/>
        </w:rPr>
        <w:t>14</w:t>
      </w:r>
      <w:r>
        <w:rPr>
          <w:rFonts w:asciiTheme="minorEastAsia" w:hAnsiTheme="minorEastAsia" w:eastAsiaTheme="minorEastAsia"/>
        </w:rPr>
        <w:fldChar w:fldCharType="end"/>
      </w:r>
      <w:r>
        <w:rPr>
          <w:rFonts w:asciiTheme="minorEastAsia" w:hAnsiTheme="minorEastAsia" w:eastAsiaTheme="minorEastAsia"/>
        </w:rPr>
        <w:fldChar w:fldCharType="end"/>
      </w:r>
    </w:p>
    <w:p w14:paraId="624C18D7">
      <w:pPr>
        <w:pStyle w:val="49"/>
        <w:rPr>
          <w:rFonts w:hint="eastAsia" w:asciiTheme="minorEastAsia" w:hAnsiTheme="minorEastAsia" w:eastAsiaTheme="minorEastAsia" w:cstheme="minorBidi"/>
          <w:kern w:val="2"/>
          <w:szCs w:val="22"/>
        </w:rPr>
      </w:pPr>
      <w:r>
        <w:fldChar w:fldCharType="begin"/>
      </w:r>
      <w:r>
        <w:instrText xml:space="preserve"> HYPERLINK \l "_Toc508451373" </w:instrText>
      </w:r>
      <w:r>
        <w:fldChar w:fldCharType="separate"/>
      </w:r>
      <w:r>
        <w:rPr>
          <w:rStyle w:val="65"/>
          <w:rFonts w:cs="Arial Narrow" w:asciiTheme="minorEastAsia" w:hAnsiTheme="minorEastAsia" w:eastAsiaTheme="minorEastAsia"/>
        </w:rPr>
        <w:t>九、</w:t>
      </w:r>
      <w:r>
        <w:rPr>
          <w:rFonts w:asciiTheme="minorEastAsia" w:hAnsiTheme="minorEastAsia" w:eastAsiaTheme="minorEastAsia" w:cstheme="minorBidi"/>
          <w:kern w:val="2"/>
          <w:szCs w:val="22"/>
        </w:rPr>
        <w:tab/>
      </w:r>
      <w:r>
        <w:rPr>
          <w:rStyle w:val="65"/>
          <w:rFonts w:cs="Arial Narrow" w:asciiTheme="minorEastAsia" w:hAnsiTheme="minorEastAsia" w:eastAsiaTheme="minorEastAsia"/>
        </w:rPr>
        <w:t>评估假设</w:t>
      </w:r>
      <w:r>
        <w:rPr>
          <w:rFonts w:asciiTheme="minorEastAsia" w:hAnsiTheme="minorEastAsia" w:eastAsiaTheme="minorEastAsia"/>
        </w:rPr>
        <w:tab/>
      </w:r>
      <w:r>
        <w:rPr>
          <w:rFonts w:asciiTheme="minorEastAsia" w:hAnsiTheme="minorEastAsia" w:eastAsiaTheme="minorEastAsia"/>
        </w:rPr>
        <w:fldChar w:fldCharType="begin"/>
      </w:r>
      <w:r>
        <w:rPr>
          <w:rFonts w:asciiTheme="minorEastAsia" w:hAnsiTheme="minorEastAsia" w:eastAsiaTheme="minorEastAsia"/>
        </w:rPr>
        <w:instrText xml:space="preserve"> PAGEREF _Toc508451373 \h </w:instrText>
      </w:r>
      <w:r>
        <w:rPr>
          <w:rFonts w:asciiTheme="minorEastAsia" w:hAnsiTheme="minorEastAsia" w:eastAsiaTheme="minorEastAsia"/>
        </w:rPr>
        <w:fldChar w:fldCharType="separate"/>
      </w:r>
      <w:r>
        <w:rPr>
          <w:rFonts w:hint="eastAsia" w:asciiTheme="minorEastAsia" w:hAnsiTheme="minorEastAsia" w:eastAsiaTheme="minorEastAsia"/>
        </w:rPr>
        <w:t>15</w:t>
      </w:r>
      <w:r>
        <w:rPr>
          <w:rFonts w:asciiTheme="minorEastAsia" w:hAnsiTheme="minorEastAsia" w:eastAsiaTheme="minorEastAsia"/>
        </w:rPr>
        <w:fldChar w:fldCharType="end"/>
      </w:r>
      <w:r>
        <w:rPr>
          <w:rFonts w:asciiTheme="minorEastAsia" w:hAnsiTheme="minorEastAsia" w:eastAsiaTheme="minorEastAsia"/>
        </w:rPr>
        <w:fldChar w:fldCharType="end"/>
      </w:r>
    </w:p>
    <w:p w14:paraId="1C61D81C">
      <w:pPr>
        <w:pStyle w:val="49"/>
        <w:rPr>
          <w:rFonts w:hint="eastAsia" w:asciiTheme="minorEastAsia" w:hAnsiTheme="minorEastAsia" w:eastAsiaTheme="minorEastAsia" w:cstheme="minorBidi"/>
          <w:kern w:val="2"/>
          <w:szCs w:val="22"/>
        </w:rPr>
      </w:pPr>
      <w:r>
        <w:fldChar w:fldCharType="begin"/>
      </w:r>
      <w:r>
        <w:instrText xml:space="preserve"> HYPERLINK \l "_Toc508451374" </w:instrText>
      </w:r>
      <w:r>
        <w:fldChar w:fldCharType="separate"/>
      </w:r>
      <w:r>
        <w:rPr>
          <w:rStyle w:val="65"/>
          <w:rFonts w:cs="Arial Narrow" w:asciiTheme="minorEastAsia" w:hAnsiTheme="minorEastAsia" w:eastAsiaTheme="minorEastAsia"/>
        </w:rPr>
        <w:t>十、</w:t>
      </w:r>
      <w:r>
        <w:rPr>
          <w:rFonts w:asciiTheme="minorEastAsia" w:hAnsiTheme="minorEastAsia" w:eastAsiaTheme="minorEastAsia" w:cstheme="minorBidi"/>
          <w:kern w:val="2"/>
          <w:szCs w:val="22"/>
        </w:rPr>
        <w:tab/>
      </w:r>
      <w:r>
        <w:rPr>
          <w:rStyle w:val="65"/>
          <w:rFonts w:cs="Arial Narrow" w:asciiTheme="minorEastAsia" w:hAnsiTheme="minorEastAsia" w:eastAsiaTheme="minorEastAsia"/>
        </w:rPr>
        <w:t>评估结论</w:t>
      </w:r>
      <w:r>
        <w:rPr>
          <w:rFonts w:asciiTheme="minorEastAsia" w:hAnsiTheme="minorEastAsia" w:eastAsiaTheme="minorEastAsia"/>
        </w:rPr>
        <w:tab/>
      </w:r>
      <w:r>
        <w:rPr>
          <w:rFonts w:asciiTheme="minorEastAsia" w:hAnsiTheme="minorEastAsia" w:eastAsiaTheme="minorEastAsia"/>
        </w:rPr>
        <w:fldChar w:fldCharType="begin"/>
      </w:r>
      <w:r>
        <w:rPr>
          <w:rFonts w:asciiTheme="minorEastAsia" w:hAnsiTheme="minorEastAsia" w:eastAsiaTheme="minorEastAsia"/>
        </w:rPr>
        <w:instrText xml:space="preserve"> PAGEREF _Toc508451374 \h </w:instrText>
      </w:r>
      <w:r>
        <w:rPr>
          <w:rFonts w:asciiTheme="minorEastAsia" w:hAnsiTheme="minorEastAsia" w:eastAsiaTheme="minorEastAsia"/>
        </w:rPr>
        <w:fldChar w:fldCharType="separate"/>
      </w:r>
      <w:r>
        <w:rPr>
          <w:rFonts w:hint="eastAsia" w:asciiTheme="minorEastAsia" w:hAnsiTheme="minorEastAsia" w:eastAsiaTheme="minorEastAsia"/>
        </w:rPr>
        <w:t>17</w:t>
      </w:r>
      <w:r>
        <w:rPr>
          <w:rFonts w:asciiTheme="minorEastAsia" w:hAnsiTheme="minorEastAsia" w:eastAsiaTheme="minorEastAsia"/>
        </w:rPr>
        <w:fldChar w:fldCharType="end"/>
      </w:r>
      <w:r>
        <w:rPr>
          <w:rFonts w:asciiTheme="minorEastAsia" w:hAnsiTheme="minorEastAsia" w:eastAsiaTheme="minorEastAsia"/>
        </w:rPr>
        <w:fldChar w:fldCharType="end"/>
      </w:r>
    </w:p>
    <w:p w14:paraId="70AC6224">
      <w:pPr>
        <w:pStyle w:val="49"/>
        <w:rPr>
          <w:rFonts w:hint="eastAsia" w:asciiTheme="minorEastAsia" w:hAnsiTheme="minorEastAsia" w:eastAsiaTheme="minorEastAsia" w:cstheme="minorBidi"/>
          <w:kern w:val="2"/>
          <w:szCs w:val="22"/>
        </w:rPr>
      </w:pPr>
      <w:r>
        <w:fldChar w:fldCharType="begin"/>
      </w:r>
      <w:r>
        <w:instrText xml:space="preserve"> HYPERLINK \l "_Toc508451375" </w:instrText>
      </w:r>
      <w:r>
        <w:fldChar w:fldCharType="separate"/>
      </w:r>
      <w:r>
        <w:rPr>
          <w:rStyle w:val="65"/>
          <w:rFonts w:cs="Arial Narrow" w:asciiTheme="minorEastAsia" w:hAnsiTheme="minorEastAsia" w:eastAsiaTheme="minorEastAsia"/>
        </w:rPr>
        <w:t>十一、</w:t>
      </w:r>
      <w:r>
        <w:rPr>
          <w:rFonts w:asciiTheme="minorEastAsia" w:hAnsiTheme="minorEastAsia" w:eastAsiaTheme="minorEastAsia" w:cstheme="minorBidi"/>
          <w:kern w:val="2"/>
          <w:szCs w:val="22"/>
        </w:rPr>
        <w:tab/>
      </w:r>
      <w:r>
        <w:rPr>
          <w:rStyle w:val="65"/>
          <w:rFonts w:cs="Arial Narrow" w:asciiTheme="minorEastAsia" w:hAnsiTheme="minorEastAsia" w:eastAsiaTheme="minorEastAsia"/>
        </w:rPr>
        <w:t>特别事项说明</w:t>
      </w:r>
      <w:r>
        <w:rPr>
          <w:rFonts w:asciiTheme="minorEastAsia" w:hAnsiTheme="minorEastAsia" w:eastAsiaTheme="minorEastAsia"/>
        </w:rPr>
        <w:tab/>
      </w:r>
      <w:r>
        <w:rPr>
          <w:rFonts w:asciiTheme="minorEastAsia" w:hAnsiTheme="minorEastAsia" w:eastAsiaTheme="minorEastAsia"/>
        </w:rPr>
        <w:fldChar w:fldCharType="begin"/>
      </w:r>
      <w:r>
        <w:rPr>
          <w:rFonts w:asciiTheme="minorEastAsia" w:hAnsiTheme="minorEastAsia" w:eastAsiaTheme="minorEastAsia"/>
        </w:rPr>
        <w:instrText xml:space="preserve"> PAGEREF _Toc508451375 \h </w:instrText>
      </w:r>
      <w:r>
        <w:rPr>
          <w:rFonts w:asciiTheme="minorEastAsia" w:hAnsiTheme="minorEastAsia" w:eastAsiaTheme="minorEastAsia"/>
        </w:rPr>
        <w:fldChar w:fldCharType="separate"/>
      </w:r>
      <w:r>
        <w:rPr>
          <w:rFonts w:hint="eastAsia" w:asciiTheme="minorEastAsia" w:hAnsiTheme="minorEastAsia" w:eastAsiaTheme="minorEastAsia"/>
        </w:rPr>
        <w:t>18</w:t>
      </w:r>
      <w:r>
        <w:rPr>
          <w:rFonts w:asciiTheme="minorEastAsia" w:hAnsiTheme="minorEastAsia" w:eastAsiaTheme="minorEastAsia"/>
        </w:rPr>
        <w:fldChar w:fldCharType="end"/>
      </w:r>
      <w:r>
        <w:rPr>
          <w:rFonts w:asciiTheme="minorEastAsia" w:hAnsiTheme="minorEastAsia" w:eastAsiaTheme="minorEastAsia"/>
        </w:rPr>
        <w:fldChar w:fldCharType="end"/>
      </w:r>
    </w:p>
    <w:p w14:paraId="203DF338">
      <w:pPr>
        <w:pStyle w:val="49"/>
        <w:rPr>
          <w:rFonts w:hint="eastAsia" w:asciiTheme="minorEastAsia" w:hAnsiTheme="minorEastAsia" w:eastAsiaTheme="minorEastAsia" w:cstheme="minorBidi"/>
          <w:kern w:val="2"/>
          <w:szCs w:val="22"/>
        </w:rPr>
      </w:pPr>
      <w:r>
        <w:fldChar w:fldCharType="begin"/>
      </w:r>
      <w:r>
        <w:instrText xml:space="preserve"> HYPERLINK \l "_Toc508451376" </w:instrText>
      </w:r>
      <w:r>
        <w:fldChar w:fldCharType="separate"/>
      </w:r>
      <w:r>
        <w:rPr>
          <w:rStyle w:val="65"/>
          <w:rFonts w:cs="Arial Narrow" w:asciiTheme="minorEastAsia" w:hAnsiTheme="minorEastAsia" w:eastAsiaTheme="minorEastAsia"/>
        </w:rPr>
        <w:t>十二、</w:t>
      </w:r>
      <w:r>
        <w:rPr>
          <w:rFonts w:asciiTheme="minorEastAsia" w:hAnsiTheme="minorEastAsia" w:eastAsiaTheme="minorEastAsia" w:cstheme="minorBidi"/>
          <w:kern w:val="2"/>
          <w:szCs w:val="22"/>
        </w:rPr>
        <w:tab/>
      </w:r>
      <w:r>
        <w:rPr>
          <w:rStyle w:val="65"/>
          <w:rFonts w:cs="Arial Narrow" w:asciiTheme="minorEastAsia" w:hAnsiTheme="minorEastAsia" w:eastAsiaTheme="minorEastAsia"/>
        </w:rPr>
        <w:t>评估报告使用限制说明</w:t>
      </w:r>
      <w:r>
        <w:rPr>
          <w:rFonts w:asciiTheme="minorEastAsia" w:hAnsiTheme="minorEastAsia" w:eastAsiaTheme="minorEastAsia"/>
        </w:rPr>
        <w:tab/>
      </w:r>
      <w:r>
        <w:rPr>
          <w:rFonts w:asciiTheme="minorEastAsia" w:hAnsiTheme="minorEastAsia" w:eastAsiaTheme="minorEastAsia"/>
        </w:rPr>
        <w:fldChar w:fldCharType="begin"/>
      </w:r>
      <w:r>
        <w:rPr>
          <w:rFonts w:asciiTheme="minorEastAsia" w:hAnsiTheme="minorEastAsia" w:eastAsiaTheme="minorEastAsia"/>
        </w:rPr>
        <w:instrText xml:space="preserve"> PAGEREF _Toc508451376 \h </w:instrText>
      </w:r>
      <w:r>
        <w:rPr>
          <w:rFonts w:asciiTheme="minorEastAsia" w:hAnsiTheme="minorEastAsia" w:eastAsiaTheme="minorEastAsia"/>
        </w:rPr>
        <w:fldChar w:fldCharType="separate"/>
      </w:r>
      <w:r>
        <w:rPr>
          <w:rFonts w:hint="eastAsia" w:asciiTheme="minorEastAsia" w:hAnsiTheme="minorEastAsia" w:eastAsiaTheme="minorEastAsia"/>
        </w:rPr>
        <w:t>21</w:t>
      </w:r>
      <w:r>
        <w:rPr>
          <w:rFonts w:asciiTheme="minorEastAsia" w:hAnsiTheme="minorEastAsia" w:eastAsiaTheme="minorEastAsia"/>
        </w:rPr>
        <w:fldChar w:fldCharType="end"/>
      </w:r>
      <w:r>
        <w:rPr>
          <w:rFonts w:asciiTheme="minorEastAsia" w:hAnsiTheme="minorEastAsia" w:eastAsiaTheme="minorEastAsia"/>
        </w:rPr>
        <w:fldChar w:fldCharType="end"/>
      </w:r>
    </w:p>
    <w:p w14:paraId="03A873CE">
      <w:pPr>
        <w:pStyle w:val="49"/>
        <w:rPr>
          <w:rFonts w:hint="eastAsia" w:asciiTheme="minorEastAsia" w:hAnsiTheme="minorEastAsia" w:eastAsiaTheme="minorEastAsia" w:cstheme="minorBidi"/>
          <w:kern w:val="2"/>
          <w:szCs w:val="22"/>
        </w:rPr>
      </w:pPr>
      <w:r>
        <w:fldChar w:fldCharType="begin"/>
      </w:r>
      <w:r>
        <w:instrText xml:space="preserve"> HYPERLINK \l "_Toc508451377" </w:instrText>
      </w:r>
      <w:r>
        <w:fldChar w:fldCharType="separate"/>
      </w:r>
      <w:r>
        <w:rPr>
          <w:rStyle w:val="65"/>
          <w:rFonts w:cs="Arial Narrow" w:asciiTheme="minorEastAsia" w:hAnsiTheme="minorEastAsia" w:eastAsiaTheme="minorEastAsia"/>
        </w:rPr>
        <w:t>十三、</w:t>
      </w:r>
      <w:r>
        <w:rPr>
          <w:rFonts w:asciiTheme="minorEastAsia" w:hAnsiTheme="minorEastAsia" w:eastAsiaTheme="minorEastAsia" w:cstheme="minorBidi"/>
          <w:kern w:val="2"/>
          <w:szCs w:val="22"/>
        </w:rPr>
        <w:tab/>
      </w:r>
      <w:r>
        <w:rPr>
          <w:rStyle w:val="65"/>
          <w:rFonts w:cs="Arial Narrow" w:asciiTheme="minorEastAsia" w:hAnsiTheme="minorEastAsia" w:eastAsiaTheme="minorEastAsia"/>
        </w:rPr>
        <w:t>评估报告日</w:t>
      </w:r>
      <w:r>
        <w:rPr>
          <w:rFonts w:asciiTheme="minorEastAsia" w:hAnsiTheme="minorEastAsia" w:eastAsiaTheme="minorEastAsia"/>
        </w:rPr>
        <w:tab/>
      </w:r>
      <w:r>
        <w:rPr>
          <w:rFonts w:asciiTheme="minorEastAsia" w:hAnsiTheme="minorEastAsia" w:eastAsiaTheme="minorEastAsia"/>
        </w:rPr>
        <w:fldChar w:fldCharType="begin"/>
      </w:r>
      <w:r>
        <w:rPr>
          <w:rFonts w:asciiTheme="minorEastAsia" w:hAnsiTheme="minorEastAsia" w:eastAsiaTheme="minorEastAsia"/>
        </w:rPr>
        <w:instrText xml:space="preserve"> PAGEREF _Toc508451377 \h </w:instrText>
      </w:r>
      <w:r>
        <w:rPr>
          <w:rFonts w:asciiTheme="minorEastAsia" w:hAnsiTheme="minorEastAsia" w:eastAsiaTheme="minorEastAsia"/>
        </w:rPr>
        <w:fldChar w:fldCharType="separate"/>
      </w:r>
      <w:r>
        <w:rPr>
          <w:rFonts w:hint="eastAsia" w:asciiTheme="minorEastAsia" w:hAnsiTheme="minorEastAsia" w:eastAsiaTheme="minorEastAsia"/>
        </w:rPr>
        <w:t>22</w:t>
      </w:r>
      <w:r>
        <w:rPr>
          <w:rFonts w:asciiTheme="minorEastAsia" w:hAnsiTheme="minorEastAsia" w:eastAsiaTheme="minorEastAsia"/>
        </w:rPr>
        <w:fldChar w:fldCharType="end"/>
      </w:r>
      <w:r>
        <w:rPr>
          <w:rFonts w:asciiTheme="minorEastAsia" w:hAnsiTheme="minorEastAsia" w:eastAsiaTheme="minorEastAsia"/>
        </w:rPr>
        <w:fldChar w:fldCharType="end"/>
      </w:r>
    </w:p>
    <w:p w14:paraId="706F4BBF">
      <w:pPr>
        <w:pStyle w:val="40"/>
        <w:spacing w:before="120"/>
        <w:ind w:firstLine="361"/>
      </w:pPr>
      <w:r>
        <w:fldChar w:fldCharType="end"/>
      </w:r>
    </w:p>
    <w:p w14:paraId="78B9DB24">
      <w:pPr>
        <w:pStyle w:val="40"/>
        <w:spacing w:before="120"/>
        <w:ind w:firstLine="361"/>
      </w:pPr>
    </w:p>
    <w:p w14:paraId="0D18DE8E">
      <w:pPr>
        <w:pStyle w:val="40"/>
        <w:spacing w:before="120"/>
        <w:ind w:firstLine="361"/>
      </w:pPr>
    </w:p>
    <w:p w14:paraId="0E1EA569">
      <w:pPr>
        <w:pStyle w:val="40"/>
        <w:spacing w:before="120"/>
        <w:ind w:firstLine="361"/>
      </w:pPr>
    </w:p>
    <w:p w14:paraId="48BC6CFC">
      <w:pPr>
        <w:pStyle w:val="40"/>
        <w:spacing w:before="120"/>
        <w:ind w:firstLine="361"/>
      </w:pPr>
    </w:p>
    <w:p w14:paraId="7FADD017">
      <w:pPr>
        <w:pStyle w:val="40"/>
        <w:spacing w:before="120"/>
        <w:ind w:firstLine="361"/>
      </w:pPr>
    </w:p>
    <w:p w14:paraId="4A150CAC">
      <w:pPr>
        <w:pStyle w:val="40"/>
        <w:spacing w:before="120"/>
        <w:ind w:firstLine="361"/>
      </w:pPr>
    </w:p>
    <w:p w14:paraId="24940850">
      <w:pPr>
        <w:pStyle w:val="40"/>
        <w:spacing w:before="120"/>
        <w:ind w:firstLine="361"/>
      </w:pPr>
    </w:p>
    <w:p w14:paraId="5E0FB921">
      <w:pPr>
        <w:pStyle w:val="40"/>
        <w:spacing w:before="120"/>
        <w:ind w:firstLine="361"/>
      </w:pPr>
    </w:p>
    <w:p w14:paraId="1C3E1F8D">
      <w:pPr>
        <w:pStyle w:val="30"/>
        <w:tabs>
          <w:tab w:val="left" w:pos="1890"/>
          <w:tab w:val="left" w:pos="2170"/>
          <w:tab w:val="right" w:leader="dot" w:pos="8342"/>
        </w:tabs>
        <w:spacing w:line="360" w:lineRule="auto"/>
        <w:ind w:left="1188" w:leftChars="200" w:hanging="508" w:hangingChars="242"/>
        <w:rPr>
          <w:rStyle w:val="65"/>
          <w:u w:val="none"/>
        </w:rPr>
        <w:sectPr>
          <w:headerReference r:id="rId9" w:type="first"/>
          <w:footerReference r:id="rId10" w:type="first"/>
          <w:pgSz w:w="11907" w:h="16840"/>
          <w:pgMar w:top="1302" w:right="1134" w:bottom="1418" w:left="1588" w:header="709" w:footer="603" w:gutter="0"/>
          <w:pgNumType w:start="1"/>
          <w:cols w:space="720" w:num="1"/>
          <w:titlePg/>
          <w:docGrid w:linePitch="462" w:charSpace="0"/>
        </w:sectPr>
      </w:pPr>
    </w:p>
    <w:p w14:paraId="7E001D2A">
      <w:pPr>
        <w:widowControl/>
        <w:autoSpaceDE w:val="0"/>
        <w:autoSpaceDN w:val="0"/>
        <w:spacing w:before="40" w:after="40"/>
        <w:ind w:left="-292" w:leftChars="-86" w:right="-195"/>
        <w:jc w:val="center"/>
        <w:textAlignment w:val="bottom"/>
        <w:rPr>
          <w:rFonts w:ascii="黑体" w:hAnsi="Arial Narrow" w:eastAsia="黑体"/>
          <w:b/>
          <w:spacing w:val="8"/>
          <w:sz w:val="32"/>
          <w:szCs w:val="32"/>
        </w:rPr>
      </w:pPr>
      <w:bookmarkStart w:id="1" w:name="_Toc433891563"/>
      <w:bookmarkStart w:id="2" w:name="_Toc508451362"/>
      <w:bookmarkStart w:id="3" w:name="_Toc21830"/>
      <w:r>
        <w:rPr>
          <w:rFonts w:hint="eastAsia" w:ascii="黑体" w:hAnsi="Arial Narrow" w:eastAsia="黑体"/>
          <w:b/>
          <w:spacing w:val="8"/>
          <w:sz w:val="32"/>
          <w:szCs w:val="32"/>
        </w:rPr>
        <w:t>安徽交运集团巢湖汽运有限公司拟转让持有的</w:t>
      </w:r>
    </w:p>
    <w:p w14:paraId="656BC4A6">
      <w:pPr>
        <w:widowControl/>
        <w:autoSpaceDE w:val="0"/>
        <w:autoSpaceDN w:val="0"/>
        <w:spacing w:before="40" w:after="40"/>
        <w:ind w:left="-292" w:leftChars="-86" w:right="-195"/>
        <w:jc w:val="center"/>
        <w:textAlignment w:val="bottom"/>
        <w:rPr>
          <w:rFonts w:ascii="黑体" w:hAnsi="Arial Narrow" w:eastAsia="黑体"/>
          <w:b/>
          <w:spacing w:val="8"/>
          <w:sz w:val="32"/>
          <w:szCs w:val="32"/>
        </w:rPr>
      </w:pPr>
      <w:r>
        <w:rPr>
          <w:rFonts w:hint="eastAsia" w:ascii="黑体" w:hAnsi="Arial Narrow" w:eastAsia="黑体"/>
          <w:b/>
          <w:spacing w:val="8"/>
          <w:sz w:val="32"/>
          <w:szCs w:val="32"/>
        </w:rPr>
        <w:t>和县飞雁城乡客运有限公司51%股权事宜</w:t>
      </w:r>
    </w:p>
    <w:p w14:paraId="7263FFD3">
      <w:pPr>
        <w:widowControl/>
        <w:autoSpaceDE w:val="0"/>
        <w:autoSpaceDN w:val="0"/>
        <w:spacing w:before="40" w:after="40"/>
        <w:ind w:left="-292" w:leftChars="-86" w:right="-195"/>
        <w:jc w:val="center"/>
        <w:textAlignment w:val="bottom"/>
        <w:rPr>
          <w:rFonts w:ascii="黑体" w:hAnsi="Arial Narrow" w:eastAsia="黑体"/>
          <w:b/>
          <w:spacing w:val="8"/>
          <w:sz w:val="32"/>
          <w:szCs w:val="32"/>
        </w:rPr>
      </w:pPr>
      <w:r>
        <w:rPr>
          <w:rFonts w:hint="eastAsia" w:ascii="黑体" w:hAnsi="Arial Narrow" w:eastAsia="黑体"/>
          <w:b/>
          <w:spacing w:val="8"/>
          <w:sz w:val="32"/>
          <w:szCs w:val="32"/>
        </w:rPr>
        <w:t>涉及的和县飞雁城乡客运有限公司</w:t>
      </w:r>
    </w:p>
    <w:p w14:paraId="015A3499">
      <w:pPr>
        <w:widowControl/>
        <w:autoSpaceDE w:val="0"/>
        <w:autoSpaceDN w:val="0"/>
        <w:spacing w:before="40" w:after="40"/>
        <w:ind w:left="-292" w:leftChars="-86" w:right="-195"/>
        <w:jc w:val="center"/>
        <w:textAlignment w:val="bottom"/>
        <w:rPr>
          <w:rFonts w:ascii="黑体" w:hAnsi="Arial Narrow" w:eastAsia="黑体"/>
          <w:b/>
          <w:spacing w:val="8"/>
          <w:sz w:val="32"/>
          <w:szCs w:val="32"/>
        </w:rPr>
      </w:pPr>
      <w:r>
        <w:rPr>
          <w:rFonts w:hint="eastAsia" w:ascii="黑体" w:hAnsi="Arial Narrow" w:eastAsia="黑体"/>
          <w:b/>
          <w:spacing w:val="8"/>
          <w:sz w:val="32"/>
          <w:szCs w:val="32"/>
        </w:rPr>
        <w:t>全部股东权益价值项目</w:t>
      </w:r>
    </w:p>
    <w:p w14:paraId="23613511">
      <w:pPr>
        <w:pStyle w:val="2"/>
        <w:spacing w:before="120" w:after="0" w:line="360" w:lineRule="auto"/>
        <w:jc w:val="center"/>
        <w:rPr>
          <w:rFonts w:ascii="Arial Narrow" w:hAnsi="Arial Narrow" w:eastAsia="黑体"/>
          <w:sz w:val="36"/>
          <w:szCs w:val="36"/>
        </w:rPr>
      </w:pPr>
      <w:r>
        <w:rPr>
          <w:rFonts w:ascii="Arial Narrow" w:hAnsi="Arial Narrow" w:eastAsia="黑体"/>
          <w:sz w:val="36"/>
          <w:szCs w:val="36"/>
        </w:rPr>
        <w:t>资产评估报告·</w:t>
      </w:r>
      <w:bookmarkEnd w:id="1"/>
      <w:r>
        <w:rPr>
          <w:rFonts w:ascii="Arial Narrow" w:hAnsi="Arial Narrow" w:eastAsia="黑体"/>
          <w:sz w:val="36"/>
          <w:szCs w:val="36"/>
        </w:rPr>
        <w:t>声明</w:t>
      </w:r>
      <w:bookmarkEnd w:id="2"/>
      <w:bookmarkEnd w:id="3"/>
    </w:p>
    <w:p w14:paraId="633D90E9">
      <w:pPr>
        <w:spacing w:after="120" w:afterLines="50"/>
        <w:jc w:val="center"/>
        <w:rPr>
          <w:rFonts w:ascii="Arial Narrow" w:hAnsi="Arial Narrow"/>
          <w:b/>
          <w:color w:val="FF0000"/>
          <w:sz w:val="24"/>
          <w:szCs w:val="24"/>
        </w:rPr>
      </w:pPr>
      <w:r>
        <w:rPr>
          <w:rFonts w:hint="eastAsia" w:ascii="Arial Narrow" w:hAnsi="Arial Narrow"/>
          <w:b/>
          <w:sz w:val="24"/>
          <w:szCs w:val="24"/>
        </w:rPr>
        <w:t>茂福</w:t>
      </w:r>
      <w:r>
        <w:rPr>
          <w:rFonts w:ascii="Arial Narrow" w:hAnsi="Arial Narrow"/>
          <w:b/>
          <w:sz w:val="24"/>
          <w:szCs w:val="24"/>
        </w:rPr>
        <w:t>评报字</w:t>
      </w:r>
      <w:r>
        <w:rPr>
          <w:rFonts w:asciiTheme="minorEastAsia" w:hAnsiTheme="minorEastAsia" w:eastAsiaTheme="minorEastAsia"/>
          <w:b/>
          <w:sz w:val="24"/>
          <w:szCs w:val="24"/>
        </w:rPr>
        <w:t>（20</w:t>
      </w:r>
      <w:r>
        <w:rPr>
          <w:rFonts w:hint="eastAsia" w:asciiTheme="minorEastAsia" w:hAnsiTheme="minorEastAsia" w:eastAsiaTheme="minorEastAsia"/>
          <w:b/>
          <w:sz w:val="24"/>
          <w:szCs w:val="24"/>
        </w:rPr>
        <w:t>25</w:t>
      </w:r>
      <w:r>
        <w:rPr>
          <w:rFonts w:asciiTheme="minorEastAsia" w:hAnsiTheme="minorEastAsia" w:eastAsiaTheme="minorEastAsia"/>
          <w:b/>
          <w:sz w:val="24"/>
          <w:szCs w:val="24"/>
        </w:rPr>
        <w:t>）第0</w:t>
      </w:r>
      <w:r>
        <w:rPr>
          <w:rFonts w:hint="eastAsia" w:asciiTheme="minorEastAsia" w:hAnsiTheme="minorEastAsia" w:eastAsiaTheme="minorEastAsia"/>
          <w:b/>
          <w:sz w:val="24"/>
          <w:szCs w:val="24"/>
        </w:rPr>
        <w:t>29</w:t>
      </w:r>
      <w:r>
        <w:rPr>
          <w:rFonts w:ascii="Arial Narrow" w:hAnsi="Arial Narrow"/>
          <w:b/>
          <w:sz w:val="24"/>
          <w:szCs w:val="24"/>
        </w:rPr>
        <w:t>号</w:t>
      </w:r>
    </w:p>
    <w:p w14:paraId="4BED1C47">
      <w:pPr>
        <w:spacing w:line="288" w:lineRule="auto"/>
        <w:ind w:firstLine="765" w:firstLineChars="225"/>
        <w:rPr>
          <w:rFonts w:ascii="Arial Narrow" w:hAnsi="Arial Narrow"/>
          <w:color w:val="FF0000"/>
          <w:szCs w:val="21"/>
        </w:rPr>
      </w:pPr>
      <w:r>
        <w:rPr>
          <w:rFonts w:ascii="Arial Narrow" w:hAnsi="Arial Narrow"/>
          <w:color w:val="FF0000"/>
          <w:szCs w:val="21"/>
        </w:rPr>
        <mc:AlternateContent>
          <mc:Choice Requires="wps">
            <w:drawing>
              <wp:anchor distT="0" distB="0" distL="114300" distR="114300" simplePos="0" relativeHeight="251661312" behindDoc="0" locked="0" layoutInCell="1" allowOverlap="1">
                <wp:simplePos x="0" y="0"/>
                <wp:positionH relativeFrom="column">
                  <wp:posOffset>-36830</wp:posOffset>
                </wp:positionH>
                <wp:positionV relativeFrom="paragraph">
                  <wp:posOffset>-22860</wp:posOffset>
                </wp:positionV>
                <wp:extent cx="5486400" cy="0"/>
                <wp:effectExtent l="0" t="0" r="0" b="0"/>
                <wp:wrapNone/>
                <wp:docPr id="304011245" name="Line 363"/>
                <wp:cNvGraphicFramePr/>
                <a:graphic xmlns:a="http://schemas.openxmlformats.org/drawingml/2006/main">
                  <a:graphicData uri="http://schemas.microsoft.com/office/word/2010/wordprocessingShape">
                    <wps:wsp>
                      <wps:cNvCnPr/>
                      <wps:spPr>
                        <a:xfrm>
                          <a:off x="0" y="0"/>
                          <a:ext cx="5486400" cy="0"/>
                        </a:xfrm>
                        <a:prstGeom prst="line">
                          <a:avLst/>
                        </a:prstGeom>
                        <a:ln w="9525" cap="flat" cmpd="sng">
                          <a:solidFill>
                            <a:srgbClr val="000000"/>
                          </a:solidFill>
                          <a:prstDash val="solid"/>
                          <a:headEnd type="none" w="med" len="med"/>
                          <a:tailEnd type="none" w="med" len="med"/>
                        </a:ln>
                      </wps:spPr>
                      <wps:bodyPr/>
                    </wps:wsp>
                  </a:graphicData>
                </a:graphic>
              </wp:anchor>
            </w:drawing>
          </mc:Choice>
          <mc:Fallback>
            <w:pict>
              <v:line id="Line 363" o:spid="_x0000_s1026" o:spt="20" style="position:absolute;left:0pt;margin-left:-2.9pt;margin-top:-1.8pt;height:0pt;width:432pt;z-index:251661312;mso-width-relative:page;mso-height-relative:page;" filled="f" stroked="t" coordsize="21600,21600" o:gfxdata="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">
                <v:fill on="f" focussize="0,0"/>
                <v:stroke color="#000000" joinstyle="round"/>
                <v:imagedata o:title=""/>
                <o:lock v:ext="edit" aspectratio="f"/>
              </v:line>
            </w:pict>
          </mc:Fallback>
        </mc:AlternateContent>
      </w:r>
    </w:p>
    <w:p w14:paraId="62629D44">
      <w:pPr>
        <w:numPr>
          <w:ilvl w:val="0"/>
          <w:numId w:val="3"/>
        </w:numPr>
        <w:tabs>
          <w:tab w:val="left" w:pos="1080"/>
          <w:tab w:val="clear" w:pos="1249"/>
        </w:tabs>
        <w:spacing w:line="560" w:lineRule="exact"/>
        <w:ind w:left="0" w:firstLine="539"/>
        <w:rPr>
          <w:rFonts w:ascii="Arial Narrow" w:hAnsi="Arial Narrow"/>
          <w:sz w:val="24"/>
          <w:szCs w:val="24"/>
        </w:rPr>
      </w:pPr>
      <w:r>
        <w:rPr>
          <w:rFonts w:ascii="Arial Narrow" w:hAnsi="Arial Narrow"/>
          <w:sz w:val="24"/>
          <w:szCs w:val="24"/>
        </w:rPr>
        <w:t>本资产评估报告依据财政部发布的资产评估基本准则和中国资产评估协会发布的资产评估执业准则和职业道德准则编制。</w:t>
      </w:r>
    </w:p>
    <w:p w14:paraId="7C3832DC">
      <w:pPr>
        <w:numPr>
          <w:ilvl w:val="0"/>
          <w:numId w:val="3"/>
        </w:numPr>
        <w:tabs>
          <w:tab w:val="left" w:pos="1080"/>
          <w:tab w:val="clear" w:pos="1249"/>
        </w:tabs>
        <w:spacing w:line="560" w:lineRule="exact"/>
        <w:ind w:left="0" w:firstLine="539"/>
        <w:rPr>
          <w:rFonts w:ascii="Arial Narrow" w:hAnsi="Arial Narrow"/>
          <w:sz w:val="24"/>
          <w:szCs w:val="24"/>
        </w:rPr>
      </w:pPr>
      <w:r>
        <w:rPr>
          <w:rFonts w:ascii="Arial Narrow" w:hAnsi="Arial Narrow"/>
          <w:sz w:val="24"/>
          <w:szCs w:val="24"/>
        </w:rPr>
        <w:t>委托人或者其他资产评估报告使用人应当按照法律、行政法规规定和资产评估报告载明的使用范围使用资产评估报告;委托人或者其他资产评估报告使用人违反前述规定使用资产评估报告的，资产评估机构及其资产评估专业人员不承担责任。</w:t>
      </w:r>
    </w:p>
    <w:p w14:paraId="1304171D">
      <w:pPr>
        <w:numPr>
          <w:ilvl w:val="0"/>
          <w:numId w:val="3"/>
        </w:numPr>
        <w:tabs>
          <w:tab w:val="left" w:pos="1080"/>
          <w:tab w:val="clear" w:pos="1249"/>
        </w:tabs>
        <w:spacing w:line="560" w:lineRule="exact"/>
        <w:ind w:left="0" w:firstLine="539"/>
        <w:rPr>
          <w:rFonts w:ascii="Arial Narrow" w:hAnsi="Arial Narrow"/>
          <w:sz w:val="24"/>
          <w:szCs w:val="24"/>
        </w:rPr>
      </w:pPr>
      <w:r>
        <w:rPr>
          <w:rFonts w:ascii="Arial Narrow" w:hAnsi="Arial Narrow"/>
          <w:sz w:val="24"/>
          <w:szCs w:val="24"/>
        </w:rPr>
        <w:t>资产评估报告仅供委托人、资产评估委托合同中约定的其他资产评估报告使用人和法律、行政法规规定的资产评估报告使用人使用;除此之外，其他任何机构和个人不能成为资产评估报告的使用人。</w:t>
      </w:r>
    </w:p>
    <w:p w14:paraId="1EF76A4F">
      <w:pPr>
        <w:numPr>
          <w:ilvl w:val="0"/>
          <w:numId w:val="3"/>
        </w:numPr>
        <w:tabs>
          <w:tab w:val="left" w:pos="1080"/>
          <w:tab w:val="clear" w:pos="1249"/>
        </w:tabs>
        <w:spacing w:line="560" w:lineRule="exact"/>
        <w:ind w:left="0" w:firstLine="539"/>
        <w:rPr>
          <w:rFonts w:ascii="Arial Narrow" w:hAnsi="Arial Narrow"/>
          <w:sz w:val="24"/>
          <w:szCs w:val="24"/>
        </w:rPr>
      </w:pPr>
      <w:r>
        <w:rPr>
          <w:rFonts w:ascii="Arial Narrow" w:hAnsi="Arial Narrow"/>
          <w:sz w:val="24"/>
          <w:szCs w:val="24"/>
        </w:rPr>
        <w:t>资产评估报告使用人应当正确理解评估结论，评估结论不等同于评估对象可实现价格，资产评估机构及资产评估专业人员并不承担相关当事人决策的责任</w:t>
      </w:r>
      <w:r>
        <w:rPr>
          <w:rFonts w:hint="eastAsia" w:ascii="Arial Narrow" w:hAnsi="Arial Narrow"/>
          <w:sz w:val="24"/>
          <w:szCs w:val="24"/>
        </w:rPr>
        <w:t>，</w:t>
      </w:r>
      <w:r>
        <w:rPr>
          <w:rFonts w:ascii="Arial Narrow" w:hAnsi="Arial Narrow"/>
          <w:sz w:val="24"/>
          <w:szCs w:val="24"/>
        </w:rPr>
        <w:t>评估结论不应当被认为是对评估对象可实现价格的保证。</w:t>
      </w:r>
    </w:p>
    <w:p w14:paraId="14B62A13">
      <w:pPr>
        <w:numPr>
          <w:ilvl w:val="0"/>
          <w:numId w:val="3"/>
        </w:numPr>
        <w:tabs>
          <w:tab w:val="left" w:pos="1080"/>
          <w:tab w:val="clear" w:pos="1249"/>
        </w:tabs>
        <w:spacing w:line="560" w:lineRule="exact"/>
        <w:ind w:left="0" w:firstLine="539"/>
        <w:rPr>
          <w:rFonts w:ascii="Arial Narrow" w:hAnsi="Arial Narrow"/>
          <w:sz w:val="24"/>
          <w:szCs w:val="24"/>
        </w:rPr>
      </w:pPr>
      <w:r>
        <w:rPr>
          <w:rFonts w:ascii="Arial Narrow" w:hAnsi="Arial Narrow"/>
          <w:sz w:val="24"/>
          <w:szCs w:val="24"/>
        </w:rPr>
        <w:t>资产评估机构及其资产评估专业人员遵守法律、行政法规和资产评估准则，坚持独立、客观、公正的原则，并对所出具的资产评估报告依法承担责任。</w:t>
      </w:r>
    </w:p>
    <w:p w14:paraId="2B78D86C">
      <w:pPr>
        <w:numPr>
          <w:ilvl w:val="0"/>
          <w:numId w:val="3"/>
        </w:numPr>
        <w:tabs>
          <w:tab w:val="left" w:pos="1080"/>
          <w:tab w:val="clear" w:pos="1249"/>
        </w:tabs>
        <w:spacing w:line="560" w:lineRule="exact"/>
        <w:ind w:left="0" w:firstLine="539"/>
        <w:rPr>
          <w:rFonts w:ascii="Arial Narrow" w:hAnsi="Arial Narrow"/>
          <w:sz w:val="24"/>
          <w:szCs w:val="24"/>
        </w:rPr>
      </w:pPr>
      <w:r>
        <w:rPr>
          <w:rFonts w:ascii="Arial Narrow" w:hAnsi="Arial Narrow"/>
          <w:sz w:val="24"/>
          <w:szCs w:val="24"/>
        </w:rPr>
        <w:t>资产评估专业人员已对评估报告中的评估对象及其所涉及资产进行现场调查；我们已对评估对象及其所涉及资产的法律权属状况给予必要的关注，对评估对象及其所涉及资产的法律权属资料进行了查验，并对已经发现的问题进行了如实披露。</w:t>
      </w:r>
    </w:p>
    <w:p w14:paraId="56135F94">
      <w:pPr>
        <w:numPr>
          <w:ilvl w:val="0"/>
          <w:numId w:val="3"/>
        </w:numPr>
        <w:tabs>
          <w:tab w:val="left" w:pos="1080"/>
          <w:tab w:val="clear" w:pos="1249"/>
        </w:tabs>
        <w:spacing w:line="560" w:lineRule="exact"/>
        <w:ind w:left="0" w:firstLine="539"/>
        <w:rPr>
          <w:rFonts w:ascii="Arial Narrow" w:hAnsi="Arial Narrow"/>
          <w:sz w:val="24"/>
          <w:szCs w:val="24"/>
        </w:rPr>
      </w:pPr>
      <w:r>
        <w:rPr>
          <w:rFonts w:ascii="Arial Narrow" w:hAnsi="Arial Narrow"/>
          <w:sz w:val="24"/>
          <w:szCs w:val="24"/>
        </w:rPr>
        <w:t>资产评估报告使用人应当关注评估结论成立的假设前提、资产评估报告特别事项说明和使用限制</w:t>
      </w:r>
      <w:r>
        <w:rPr>
          <w:rFonts w:hint="eastAsia" w:ascii="Arial Narrow" w:hAnsi="Arial Narrow"/>
          <w:sz w:val="24"/>
          <w:szCs w:val="24"/>
        </w:rPr>
        <w:t>，并</w:t>
      </w:r>
      <w:r>
        <w:rPr>
          <w:rFonts w:ascii="Arial Narrow" w:hAnsi="Arial Narrow"/>
          <w:sz w:val="24"/>
          <w:szCs w:val="24"/>
        </w:rPr>
        <w:t>充分考虑</w:t>
      </w:r>
      <w:r>
        <w:rPr>
          <w:rFonts w:hint="eastAsia" w:ascii="Arial Narrow" w:hAnsi="Arial Narrow"/>
          <w:sz w:val="24"/>
          <w:szCs w:val="24"/>
        </w:rPr>
        <w:t>其</w:t>
      </w:r>
      <w:r>
        <w:rPr>
          <w:rFonts w:ascii="Arial Narrow" w:hAnsi="Arial Narrow"/>
          <w:sz w:val="24"/>
          <w:szCs w:val="24"/>
        </w:rPr>
        <w:t>及其对评估结论的影响。</w:t>
      </w:r>
    </w:p>
    <w:p w14:paraId="4046A162">
      <w:pPr>
        <w:pStyle w:val="230"/>
        <w:tabs>
          <w:tab w:val="left" w:pos="1812"/>
        </w:tabs>
        <w:ind w:firstLine="616" w:firstLineChars="257"/>
        <w:jc w:val="left"/>
        <w:rPr>
          <w:rFonts w:eastAsia="宋体"/>
          <w:kern w:val="2"/>
          <w:szCs w:val="24"/>
        </w:rPr>
      </w:pPr>
      <w:r>
        <w:rPr>
          <w:rFonts w:eastAsia="宋体"/>
          <w:kern w:val="2"/>
          <w:szCs w:val="24"/>
        </w:rPr>
        <w:tab/>
      </w:r>
    </w:p>
    <w:p w14:paraId="70AA06AA">
      <w:pPr>
        <w:tabs>
          <w:tab w:val="left" w:pos="1812"/>
        </w:tabs>
        <w:spacing w:line="360" w:lineRule="auto"/>
        <w:jc w:val="center"/>
        <w:rPr>
          <w:rFonts w:ascii="Arial Narrow" w:hAnsi="Arial Narrow" w:eastAsia="黑体"/>
          <w:b/>
          <w:bCs/>
          <w:sz w:val="24"/>
          <w:szCs w:val="24"/>
        </w:rPr>
        <w:sectPr>
          <w:headerReference r:id="rId11" w:type="first"/>
          <w:footerReference r:id="rId13" w:type="first"/>
          <w:footerReference r:id="rId12" w:type="default"/>
          <w:pgSz w:w="11907" w:h="16840"/>
          <w:pgMar w:top="1304" w:right="1134" w:bottom="1418" w:left="1588" w:header="709" w:footer="601" w:gutter="0"/>
          <w:pgNumType w:start="1"/>
          <w:cols w:space="720" w:num="1"/>
          <w:titlePg/>
          <w:docGrid w:linePitch="462" w:charSpace="0"/>
        </w:sectPr>
      </w:pPr>
    </w:p>
    <w:p w14:paraId="55DB755B">
      <w:pPr>
        <w:widowControl/>
        <w:autoSpaceDE w:val="0"/>
        <w:autoSpaceDN w:val="0"/>
        <w:spacing w:before="40" w:after="40"/>
        <w:ind w:left="-292" w:leftChars="-86" w:right="-195"/>
        <w:jc w:val="center"/>
        <w:textAlignment w:val="bottom"/>
        <w:rPr>
          <w:rFonts w:ascii="黑体" w:hAnsi="Arial Narrow" w:eastAsia="黑体"/>
          <w:b/>
          <w:spacing w:val="8"/>
          <w:sz w:val="32"/>
          <w:szCs w:val="32"/>
        </w:rPr>
      </w:pPr>
      <w:bookmarkStart w:id="4" w:name="_Toc508451363"/>
      <w:bookmarkStart w:id="5" w:name="_Toc3069"/>
      <w:bookmarkStart w:id="6" w:name="_Toc433891564"/>
      <w:r>
        <w:rPr>
          <w:rFonts w:hint="eastAsia" w:ascii="黑体" w:hAnsi="Arial Narrow" w:eastAsia="黑体"/>
          <w:b/>
          <w:spacing w:val="8"/>
          <w:sz w:val="32"/>
          <w:szCs w:val="32"/>
        </w:rPr>
        <w:t>安徽交运集团巢湖汽运有限公司拟转让持有的</w:t>
      </w:r>
    </w:p>
    <w:p w14:paraId="5F3204B7">
      <w:pPr>
        <w:widowControl/>
        <w:autoSpaceDE w:val="0"/>
        <w:autoSpaceDN w:val="0"/>
        <w:spacing w:before="40" w:after="40"/>
        <w:ind w:left="-292" w:leftChars="-86" w:right="-195"/>
        <w:jc w:val="center"/>
        <w:textAlignment w:val="bottom"/>
        <w:rPr>
          <w:rFonts w:ascii="黑体" w:hAnsi="Arial Narrow" w:eastAsia="黑体"/>
          <w:b/>
          <w:spacing w:val="8"/>
          <w:sz w:val="32"/>
          <w:szCs w:val="32"/>
        </w:rPr>
      </w:pPr>
      <w:r>
        <w:rPr>
          <w:rFonts w:hint="eastAsia" w:ascii="黑体" w:hAnsi="Arial Narrow" w:eastAsia="黑体"/>
          <w:b/>
          <w:spacing w:val="8"/>
          <w:sz w:val="32"/>
          <w:szCs w:val="32"/>
        </w:rPr>
        <w:t>和县飞雁城乡客运有限公司51%股权事宜</w:t>
      </w:r>
    </w:p>
    <w:p w14:paraId="1CEBC676">
      <w:pPr>
        <w:widowControl/>
        <w:autoSpaceDE w:val="0"/>
        <w:autoSpaceDN w:val="0"/>
        <w:spacing w:before="40" w:after="40"/>
        <w:ind w:left="-292" w:leftChars="-86" w:right="-195"/>
        <w:jc w:val="center"/>
        <w:textAlignment w:val="bottom"/>
        <w:rPr>
          <w:rFonts w:ascii="黑体" w:hAnsi="Arial Narrow" w:eastAsia="黑体"/>
          <w:b/>
          <w:spacing w:val="8"/>
          <w:sz w:val="32"/>
          <w:szCs w:val="32"/>
        </w:rPr>
      </w:pPr>
      <w:r>
        <w:rPr>
          <w:rFonts w:hint="eastAsia" w:ascii="黑体" w:hAnsi="Arial Narrow" w:eastAsia="黑体"/>
          <w:b/>
          <w:spacing w:val="8"/>
          <w:sz w:val="32"/>
          <w:szCs w:val="32"/>
        </w:rPr>
        <w:t>涉及的和县飞雁城乡客运有限公司</w:t>
      </w:r>
    </w:p>
    <w:p w14:paraId="3230DB47">
      <w:pPr>
        <w:widowControl/>
        <w:autoSpaceDE w:val="0"/>
        <w:autoSpaceDN w:val="0"/>
        <w:spacing w:before="40" w:after="40"/>
        <w:ind w:left="-292" w:leftChars="-86" w:right="-195"/>
        <w:jc w:val="center"/>
        <w:textAlignment w:val="bottom"/>
        <w:rPr>
          <w:rFonts w:ascii="黑体" w:hAnsi="Arial Narrow" w:eastAsia="黑体"/>
          <w:b/>
          <w:spacing w:val="8"/>
          <w:sz w:val="32"/>
          <w:szCs w:val="32"/>
        </w:rPr>
      </w:pPr>
      <w:r>
        <w:rPr>
          <w:rFonts w:hint="eastAsia" w:ascii="黑体" w:hAnsi="Arial Narrow" w:eastAsia="黑体"/>
          <w:b/>
          <w:spacing w:val="8"/>
          <w:sz w:val="32"/>
          <w:szCs w:val="32"/>
        </w:rPr>
        <w:t>全部股东权益价值项目</w:t>
      </w:r>
    </w:p>
    <w:p w14:paraId="2483F7F4">
      <w:pPr>
        <w:pStyle w:val="2"/>
        <w:spacing w:before="120" w:after="0" w:line="360" w:lineRule="auto"/>
        <w:jc w:val="center"/>
        <w:rPr>
          <w:rFonts w:ascii="Arial Narrow" w:hAnsi="Arial Narrow" w:eastAsia="黑体"/>
          <w:sz w:val="36"/>
          <w:szCs w:val="36"/>
        </w:rPr>
      </w:pPr>
      <w:r>
        <w:rPr>
          <w:rFonts w:ascii="Arial Narrow" w:hAnsi="Arial Narrow" w:eastAsia="黑体"/>
          <w:sz w:val="36"/>
          <w:szCs w:val="36"/>
        </w:rPr>
        <w:t>资产评估报告·摘要</w:t>
      </w:r>
      <w:bookmarkEnd w:id="4"/>
      <w:bookmarkEnd w:id="5"/>
      <w:bookmarkEnd w:id="6"/>
    </w:p>
    <w:p w14:paraId="75CC0089">
      <w:pPr>
        <w:spacing w:after="120" w:afterLines="50"/>
        <w:jc w:val="center"/>
        <w:rPr>
          <w:rFonts w:ascii="Arial Narrow" w:hAnsi="Arial Narrow"/>
          <w:b/>
          <w:sz w:val="24"/>
          <w:szCs w:val="24"/>
        </w:rPr>
      </w:pPr>
      <w:r>
        <w:rPr>
          <w:rFonts w:hint="eastAsia" w:ascii="Arial Narrow" w:hAnsi="Arial Narrow"/>
          <w:b/>
          <w:sz w:val="24"/>
          <w:szCs w:val="24"/>
        </w:rPr>
        <w:t>茂福</w:t>
      </w:r>
      <w:r>
        <w:rPr>
          <w:rFonts w:ascii="Arial Narrow" w:hAnsi="Arial Narrow"/>
          <w:b/>
          <w:sz w:val="24"/>
          <w:szCs w:val="24"/>
        </w:rPr>
        <w:t>评报字</w:t>
      </w:r>
      <w:r>
        <w:rPr>
          <w:rFonts w:asciiTheme="minorEastAsia" w:hAnsiTheme="minorEastAsia" w:eastAsiaTheme="minorEastAsia"/>
          <w:b/>
          <w:sz w:val="24"/>
          <w:szCs w:val="24"/>
        </w:rPr>
        <w:t>（20</w:t>
      </w:r>
      <w:r>
        <w:rPr>
          <w:rFonts w:hint="eastAsia" w:asciiTheme="minorEastAsia" w:hAnsiTheme="minorEastAsia" w:eastAsiaTheme="minorEastAsia"/>
          <w:b/>
          <w:sz w:val="24"/>
          <w:szCs w:val="24"/>
        </w:rPr>
        <w:t>25</w:t>
      </w:r>
      <w:r>
        <w:rPr>
          <w:rFonts w:asciiTheme="minorEastAsia" w:hAnsiTheme="minorEastAsia" w:eastAsiaTheme="minorEastAsia"/>
          <w:b/>
          <w:sz w:val="24"/>
          <w:szCs w:val="24"/>
        </w:rPr>
        <w:t>）第0</w:t>
      </w:r>
      <w:r>
        <w:rPr>
          <w:rFonts w:hint="eastAsia" w:asciiTheme="minorEastAsia" w:hAnsiTheme="minorEastAsia" w:eastAsiaTheme="minorEastAsia"/>
          <w:b/>
          <w:sz w:val="24"/>
          <w:szCs w:val="24"/>
        </w:rPr>
        <w:t>29</w:t>
      </w:r>
      <w:r>
        <w:rPr>
          <w:rFonts w:ascii="Arial Narrow" w:hAnsi="Arial Narrow"/>
          <w:b/>
          <w:sz w:val="24"/>
          <w:szCs w:val="24"/>
        </w:rPr>
        <w:t>号</w:t>
      </w:r>
    </w:p>
    <w:p w14:paraId="2E3D911D">
      <w:pPr>
        <w:spacing w:line="288" w:lineRule="auto"/>
        <w:ind w:firstLine="540" w:firstLineChars="225"/>
        <w:rPr>
          <w:rFonts w:ascii="Arial Narrow" w:hAnsi="Arial Narrow"/>
          <w:sz w:val="24"/>
          <w:szCs w:val="24"/>
        </w:rPr>
      </w:pPr>
      <w:r>
        <w:rPr>
          <w:rFonts w:ascii="Arial Narrow" w:hAnsi="Arial Narrow"/>
          <w:sz w:val="24"/>
          <w:szCs w:val="24"/>
        </w:rPr>
        <mc:AlternateContent>
          <mc:Choice Requires="wps">
            <w:drawing>
              <wp:anchor distT="0" distB="0" distL="114300" distR="114300" simplePos="0" relativeHeight="251660288" behindDoc="0" locked="0" layoutInCell="1" allowOverlap="1">
                <wp:simplePos x="0" y="0"/>
                <wp:positionH relativeFrom="column">
                  <wp:posOffset>-36830</wp:posOffset>
                </wp:positionH>
                <wp:positionV relativeFrom="paragraph">
                  <wp:posOffset>-22860</wp:posOffset>
                </wp:positionV>
                <wp:extent cx="5486400" cy="0"/>
                <wp:effectExtent l="0" t="0" r="0" b="0"/>
                <wp:wrapNone/>
                <wp:docPr id="817627461" name="Line 53"/>
                <wp:cNvGraphicFramePr/>
                <a:graphic xmlns:a="http://schemas.openxmlformats.org/drawingml/2006/main">
                  <a:graphicData uri="http://schemas.microsoft.com/office/word/2010/wordprocessingShape">
                    <wps:wsp>
                      <wps:cNvCnPr/>
                      <wps:spPr>
                        <a:xfrm>
                          <a:off x="0" y="0"/>
                          <a:ext cx="5486400" cy="0"/>
                        </a:xfrm>
                        <a:prstGeom prst="line">
                          <a:avLst/>
                        </a:prstGeom>
                        <a:ln w="9525" cap="flat" cmpd="sng">
                          <a:solidFill>
                            <a:srgbClr val="000000"/>
                          </a:solidFill>
                          <a:prstDash val="solid"/>
                          <a:headEnd type="none" w="med" len="med"/>
                          <a:tailEnd type="none" w="med" len="med"/>
                        </a:ln>
                      </wps:spPr>
                      <wps:bodyPr/>
                    </wps:wsp>
                  </a:graphicData>
                </a:graphic>
              </wp:anchor>
            </w:drawing>
          </mc:Choice>
          <mc:Fallback>
            <w:pict>
              <v:line id="Line 53" o:spid="_x0000_s1026" o:spt="20" style="position:absolute;left:0pt;margin-left:-2.9pt;margin-top:-1.8pt;height:0pt;width:432pt;z-index:251660288;mso-width-relative:page;mso-height-relative:page;" filled="f" stroked="t" coordsize="21600,21600" o:gfxdata="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">
                <v:fill on="f" focussize="0,0"/>
                <v:stroke color="#000000" joinstyle="round"/>
                <v:imagedata o:title=""/>
                <o:lock v:ext="edit" aspectratio="f"/>
              </v:line>
            </w:pict>
          </mc:Fallback>
        </mc:AlternateContent>
      </w:r>
    </w:p>
    <w:p w14:paraId="0AF4DD6E">
      <w:pPr>
        <w:spacing w:line="360" w:lineRule="auto"/>
        <w:ind w:firstLine="540" w:firstLineChars="225"/>
        <w:rPr>
          <w:rFonts w:ascii="Arial Narrow" w:hAnsi="Arial Narrow"/>
          <w:sz w:val="24"/>
          <w:szCs w:val="24"/>
        </w:rPr>
      </w:pPr>
      <w:r>
        <w:rPr>
          <w:rFonts w:ascii="Arial Narrow" w:hAnsi="Arial Narrow"/>
          <w:sz w:val="24"/>
          <w:szCs w:val="24"/>
        </w:rPr>
        <w:t>安徽省茂福资产评估事务所（有限合伙）接受</w:t>
      </w:r>
      <w:r>
        <w:rPr>
          <w:rFonts w:hint="eastAsia" w:asciiTheme="minorEastAsia" w:hAnsiTheme="minorEastAsia" w:eastAsiaTheme="minorEastAsia"/>
          <w:sz w:val="24"/>
          <w:szCs w:val="24"/>
        </w:rPr>
        <w:t>安徽交运集团巢湖汽运有限公司的</w:t>
      </w:r>
      <w:r>
        <w:rPr>
          <w:rFonts w:ascii="Arial Narrow" w:hAnsi="Arial Narrow"/>
          <w:sz w:val="24"/>
          <w:szCs w:val="24"/>
        </w:rPr>
        <w:t>委托，</w:t>
      </w:r>
      <w:r>
        <w:rPr>
          <w:rFonts w:hint="eastAsia" w:ascii="Arial Narrow" w:hAnsi="Arial Narrow"/>
          <w:sz w:val="24"/>
          <w:szCs w:val="24"/>
        </w:rPr>
        <w:t>资产评估师</w:t>
      </w:r>
      <w:r>
        <w:rPr>
          <w:rFonts w:ascii="Arial Narrow" w:hAnsi="Arial Narrow"/>
          <w:sz w:val="24"/>
          <w:szCs w:val="24"/>
        </w:rPr>
        <w:t>根据</w:t>
      </w:r>
      <w:r>
        <w:rPr>
          <w:rFonts w:hint="eastAsia" w:ascii="Arial Narrow" w:hAnsi="Arial Narrow"/>
          <w:sz w:val="24"/>
          <w:szCs w:val="24"/>
        </w:rPr>
        <w:t>资产评估执业准则</w:t>
      </w:r>
      <w:r>
        <w:rPr>
          <w:rFonts w:ascii="Arial Narrow" w:hAnsi="Arial Narrow"/>
          <w:sz w:val="24"/>
          <w:szCs w:val="24"/>
        </w:rPr>
        <w:t>的要求，本着独立、客观</w:t>
      </w:r>
      <w:r>
        <w:rPr>
          <w:rFonts w:hint="eastAsia" w:ascii="Arial Narrow" w:hAnsi="Arial Narrow"/>
          <w:sz w:val="24"/>
          <w:szCs w:val="24"/>
        </w:rPr>
        <w:t>、</w:t>
      </w:r>
      <w:r>
        <w:rPr>
          <w:rFonts w:ascii="Arial Narrow" w:hAnsi="Arial Narrow"/>
          <w:sz w:val="24"/>
          <w:szCs w:val="24"/>
        </w:rPr>
        <w:t>公正的原则，遵循有关法律、法规的规定，结合委估对象的实际情况，采用</w:t>
      </w:r>
      <w:r>
        <w:rPr>
          <w:rFonts w:hint="eastAsia" w:ascii="Arial Narrow" w:hAnsi="Arial Narrow" w:cs="Arial Narrow"/>
          <w:kern w:val="2"/>
          <w:sz w:val="24"/>
          <w:szCs w:val="24"/>
        </w:rPr>
        <w:t>资产基础</w:t>
      </w:r>
      <w:r>
        <w:rPr>
          <w:rFonts w:asciiTheme="minorEastAsia" w:hAnsiTheme="minorEastAsia" w:eastAsiaTheme="minorEastAsia"/>
          <w:sz w:val="24"/>
          <w:szCs w:val="24"/>
        </w:rPr>
        <w:t>法</w:t>
      </w:r>
      <w:r>
        <w:rPr>
          <w:rFonts w:hint="eastAsia" w:asciiTheme="minorEastAsia" w:hAnsiTheme="minorEastAsia" w:eastAsiaTheme="minorEastAsia"/>
          <w:sz w:val="24"/>
          <w:szCs w:val="24"/>
        </w:rPr>
        <w:t>和收益法</w:t>
      </w:r>
      <w:r>
        <w:rPr>
          <w:rFonts w:asciiTheme="minorEastAsia" w:hAnsiTheme="minorEastAsia" w:eastAsiaTheme="minorEastAsia"/>
          <w:sz w:val="24"/>
          <w:szCs w:val="24"/>
        </w:rPr>
        <w:t>，对</w:t>
      </w:r>
      <w:r>
        <w:rPr>
          <w:rFonts w:hint="eastAsia" w:asciiTheme="minorEastAsia" w:hAnsiTheme="minorEastAsia" w:eastAsiaTheme="minorEastAsia"/>
          <w:sz w:val="24"/>
          <w:szCs w:val="24"/>
        </w:rPr>
        <w:t>安徽交运集团巢湖汽运有限公司拟转让持有的和县飞雁城乡客运有限公司51%股权事宜涉及的和县飞雁城乡客运有限公司全部股东权益价值</w:t>
      </w:r>
      <w:r>
        <w:rPr>
          <w:rFonts w:asciiTheme="minorEastAsia" w:hAnsiTheme="minorEastAsia" w:eastAsiaTheme="minorEastAsia"/>
          <w:sz w:val="24"/>
          <w:szCs w:val="24"/>
        </w:rPr>
        <w:t>在2025年</w:t>
      </w:r>
      <w:r>
        <w:rPr>
          <w:rFonts w:hint="eastAsia" w:asciiTheme="minorEastAsia" w:hAnsiTheme="minorEastAsia" w:eastAsiaTheme="minorEastAsia"/>
          <w:sz w:val="24"/>
          <w:szCs w:val="24"/>
        </w:rPr>
        <w:t>8</w:t>
      </w:r>
      <w:r>
        <w:rPr>
          <w:rFonts w:asciiTheme="minorEastAsia" w:hAnsiTheme="minorEastAsia" w:eastAsiaTheme="minorEastAsia"/>
          <w:sz w:val="24"/>
          <w:szCs w:val="24"/>
        </w:rPr>
        <w:t>月31日的</w:t>
      </w:r>
      <w:r>
        <w:rPr>
          <w:rFonts w:hint="eastAsia" w:asciiTheme="minorEastAsia" w:hAnsiTheme="minorEastAsia" w:eastAsiaTheme="minorEastAsia"/>
          <w:sz w:val="24"/>
          <w:szCs w:val="24"/>
        </w:rPr>
        <w:t>市场</w:t>
      </w:r>
      <w:r>
        <w:rPr>
          <w:rFonts w:asciiTheme="minorEastAsia" w:hAnsiTheme="minorEastAsia" w:eastAsiaTheme="minorEastAsia"/>
          <w:sz w:val="24"/>
          <w:szCs w:val="24"/>
        </w:rPr>
        <w:t>价值</w:t>
      </w:r>
      <w:r>
        <w:rPr>
          <w:rFonts w:ascii="Arial Narrow" w:hAnsi="Arial Narrow"/>
          <w:sz w:val="24"/>
          <w:szCs w:val="24"/>
        </w:rPr>
        <w:t>进行评估，并发表专业意见。现将资产评估情况及评估结果摘要报告如下：</w:t>
      </w:r>
    </w:p>
    <w:p w14:paraId="6EDF7AE8">
      <w:pPr>
        <w:numPr>
          <w:ilvl w:val="0"/>
          <w:numId w:val="4"/>
        </w:numPr>
        <w:tabs>
          <w:tab w:val="clear" w:pos="1015"/>
        </w:tabs>
        <w:spacing w:line="360" w:lineRule="auto"/>
        <w:ind w:left="0" w:firstLine="482" w:firstLineChars="200"/>
        <w:rPr>
          <w:rFonts w:hint="eastAsia" w:cs="黑体" w:asciiTheme="minorEastAsia" w:hAnsiTheme="minorEastAsia" w:eastAsiaTheme="minorEastAsia"/>
          <w:b/>
          <w:sz w:val="24"/>
          <w:szCs w:val="24"/>
        </w:rPr>
      </w:pPr>
      <w:r>
        <w:rPr>
          <w:rFonts w:ascii="Arial Narrow" w:hAnsi="Arial Narrow" w:eastAsia="黑体" w:cs="黑体"/>
          <w:b/>
          <w:sz w:val="24"/>
          <w:szCs w:val="24"/>
        </w:rPr>
        <w:t>评估目的：</w:t>
      </w:r>
      <w:r>
        <w:rPr>
          <w:rFonts w:hint="eastAsia" w:asciiTheme="minorEastAsia" w:hAnsiTheme="minorEastAsia" w:eastAsiaTheme="minorEastAsia"/>
          <w:sz w:val="24"/>
          <w:szCs w:val="24"/>
        </w:rPr>
        <w:t>安徽交运集团巢湖汽运有限公司拟转让持有的和县飞雁城乡客运有限公司51%股权事宜</w:t>
      </w:r>
      <w:r>
        <w:rPr>
          <w:rFonts w:hint="eastAsia" w:cs="Arial Narrow" w:asciiTheme="minorEastAsia" w:hAnsiTheme="minorEastAsia" w:eastAsiaTheme="minorEastAsia"/>
          <w:kern w:val="2"/>
          <w:sz w:val="24"/>
          <w:szCs w:val="24"/>
        </w:rPr>
        <w:t>，需要该经济行为涉及的</w:t>
      </w:r>
      <w:r>
        <w:rPr>
          <w:rFonts w:hint="eastAsia" w:asciiTheme="minorEastAsia" w:hAnsiTheme="minorEastAsia" w:eastAsiaTheme="minorEastAsia"/>
          <w:sz w:val="24"/>
          <w:szCs w:val="24"/>
        </w:rPr>
        <w:t>和县飞雁城乡客运有限公司全部股东权益</w:t>
      </w:r>
      <w:r>
        <w:rPr>
          <w:rFonts w:hint="eastAsia" w:cs="Arial Narrow" w:asciiTheme="minorEastAsia" w:hAnsiTheme="minorEastAsia" w:eastAsiaTheme="minorEastAsia"/>
          <w:kern w:val="2"/>
          <w:sz w:val="24"/>
          <w:szCs w:val="24"/>
        </w:rPr>
        <w:t>的市场价值进行评估，为该经济行为提供价值参考依据。</w:t>
      </w:r>
    </w:p>
    <w:p w14:paraId="0E7B0E18">
      <w:pPr>
        <w:numPr>
          <w:ilvl w:val="0"/>
          <w:numId w:val="4"/>
        </w:numPr>
        <w:spacing w:line="360" w:lineRule="auto"/>
        <w:ind w:left="0" w:firstLine="527"/>
        <w:rPr>
          <w:rFonts w:hint="eastAsia" w:cs="黑体" w:asciiTheme="minorEastAsia" w:hAnsiTheme="minorEastAsia" w:eastAsiaTheme="minorEastAsia"/>
          <w:b/>
          <w:sz w:val="24"/>
          <w:szCs w:val="24"/>
        </w:rPr>
      </w:pPr>
      <w:r>
        <w:rPr>
          <w:rFonts w:ascii="Arial Narrow" w:hAnsi="Arial Narrow" w:eastAsia="黑体" w:cs="黑体"/>
          <w:b/>
          <w:sz w:val="24"/>
          <w:szCs w:val="24"/>
        </w:rPr>
        <w:t>评估对象与评估范围：</w:t>
      </w:r>
      <w:r>
        <w:rPr>
          <w:rFonts w:ascii="Arial Narrow" w:hAnsi="Arial Narrow"/>
          <w:sz w:val="24"/>
          <w:szCs w:val="24"/>
        </w:rPr>
        <w:t>本次评估对象为</w:t>
      </w:r>
      <w:r>
        <w:rPr>
          <w:rFonts w:hint="eastAsia" w:asciiTheme="minorEastAsia" w:hAnsiTheme="minorEastAsia" w:eastAsiaTheme="minorEastAsia"/>
          <w:sz w:val="24"/>
          <w:szCs w:val="24"/>
        </w:rPr>
        <w:t>和县飞雁城乡客运有限公司全部股东权益</w:t>
      </w:r>
      <w:r>
        <w:rPr>
          <w:rFonts w:hint="eastAsia" w:cs="Arial Narrow" w:asciiTheme="minorEastAsia" w:hAnsiTheme="minorEastAsia" w:eastAsiaTheme="minorEastAsia"/>
          <w:kern w:val="2"/>
          <w:sz w:val="24"/>
          <w:szCs w:val="24"/>
        </w:rPr>
        <w:t>的市场价值</w:t>
      </w:r>
      <w:r>
        <w:rPr>
          <w:rFonts w:asciiTheme="minorEastAsia" w:hAnsiTheme="minorEastAsia" w:eastAsiaTheme="minorEastAsia"/>
          <w:sz w:val="24"/>
          <w:szCs w:val="24"/>
        </w:rPr>
        <w:t>。与评估对象所对应的评估范围为</w:t>
      </w:r>
      <w:r>
        <w:rPr>
          <w:rFonts w:hint="eastAsia" w:asciiTheme="minorEastAsia" w:hAnsiTheme="minorEastAsia" w:eastAsiaTheme="minorEastAsia"/>
          <w:sz w:val="24"/>
          <w:szCs w:val="24"/>
        </w:rPr>
        <w:t>和县飞雁城乡客运有限公司</w:t>
      </w:r>
      <w:r>
        <w:rPr>
          <w:rFonts w:hint="eastAsia" w:cs="Arial Narrow" w:asciiTheme="minorEastAsia" w:hAnsiTheme="minorEastAsia" w:eastAsiaTheme="minorEastAsia"/>
          <w:kern w:val="2"/>
          <w:sz w:val="24"/>
          <w:szCs w:val="24"/>
        </w:rPr>
        <w:t>的全部资产和负债</w:t>
      </w:r>
      <w:r>
        <w:rPr>
          <w:rFonts w:asciiTheme="minorEastAsia" w:hAnsiTheme="minorEastAsia" w:eastAsiaTheme="minorEastAsia"/>
          <w:sz w:val="24"/>
          <w:szCs w:val="24"/>
        </w:rPr>
        <w:t>。</w:t>
      </w:r>
    </w:p>
    <w:p w14:paraId="21D87348">
      <w:pPr>
        <w:numPr>
          <w:ilvl w:val="0"/>
          <w:numId w:val="4"/>
        </w:numPr>
        <w:spacing w:line="360" w:lineRule="auto"/>
        <w:rPr>
          <w:rFonts w:ascii="Arial Narrow" w:hAnsi="Arial Narrow" w:eastAsia="黑体" w:cs="黑体"/>
          <w:b/>
          <w:sz w:val="24"/>
          <w:szCs w:val="24"/>
        </w:rPr>
      </w:pPr>
      <w:r>
        <w:rPr>
          <w:rFonts w:ascii="Arial Narrow" w:hAnsi="Arial Narrow" w:eastAsia="黑体" w:cs="黑体"/>
          <w:b/>
          <w:sz w:val="24"/>
          <w:szCs w:val="24"/>
        </w:rPr>
        <w:t>价值类型：</w:t>
      </w:r>
      <w:r>
        <w:rPr>
          <w:rFonts w:hint="eastAsia" w:asciiTheme="minorEastAsia" w:hAnsiTheme="minorEastAsia" w:eastAsiaTheme="minorEastAsia"/>
          <w:sz w:val="24"/>
          <w:szCs w:val="24"/>
        </w:rPr>
        <w:t>市场</w:t>
      </w:r>
      <w:r>
        <w:rPr>
          <w:rFonts w:asciiTheme="minorEastAsia" w:hAnsiTheme="minorEastAsia" w:eastAsiaTheme="minorEastAsia"/>
          <w:sz w:val="24"/>
          <w:szCs w:val="24"/>
        </w:rPr>
        <w:t>价值</w:t>
      </w:r>
      <w:r>
        <w:rPr>
          <w:rFonts w:ascii="Arial Narrow" w:hAnsi="Arial Narrow"/>
          <w:sz w:val="24"/>
          <w:szCs w:val="24"/>
        </w:rPr>
        <w:t>。</w:t>
      </w:r>
    </w:p>
    <w:p w14:paraId="07CB4C5A">
      <w:pPr>
        <w:numPr>
          <w:ilvl w:val="0"/>
          <w:numId w:val="4"/>
        </w:numPr>
        <w:spacing w:line="360" w:lineRule="auto"/>
        <w:ind w:left="0" w:firstLine="527"/>
        <w:rPr>
          <w:rFonts w:ascii="Arial Narrow" w:hAnsi="Arial Narrow" w:eastAsia="黑体" w:cs="黑体"/>
          <w:b/>
          <w:sz w:val="24"/>
          <w:szCs w:val="24"/>
        </w:rPr>
      </w:pPr>
      <w:r>
        <w:rPr>
          <w:rFonts w:ascii="Arial Narrow" w:hAnsi="Arial Narrow" w:eastAsia="黑体" w:cs="黑体"/>
          <w:b/>
          <w:sz w:val="24"/>
          <w:szCs w:val="24"/>
        </w:rPr>
        <w:t>评估基准日：</w:t>
      </w:r>
      <w:r>
        <w:rPr>
          <w:rFonts w:asciiTheme="minorEastAsia" w:hAnsiTheme="minorEastAsia" w:eastAsiaTheme="minorEastAsia"/>
          <w:sz w:val="24"/>
          <w:szCs w:val="24"/>
        </w:rPr>
        <w:t>2025年</w:t>
      </w:r>
      <w:r>
        <w:rPr>
          <w:rFonts w:hint="eastAsia" w:asciiTheme="minorEastAsia" w:hAnsiTheme="minorEastAsia" w:eastAsiaTheme="minorEastAsia"/>
          <w:sz w:val="24"/>
          <w:szCs w:val="24"/>
        </w:rPr>
        <w:t>8</w:t>
      </w:r>
      <w:r>
        <w:rPr>
          <w:rFonts w:asciiTheme="minorEastAsia" w:hAnsiTheme="minorEastAsia" w:eastAsiaTheme="minorEastAsia"/>
          <w:sz w:val="24"/>
          <w:szCs w:val="24"/>
        </w:rPr>
        <w:t>月31日</w:t>
      </w:r>
      <w:r>
        <w:rPr>
          <w:rFonts w:ascii="Arial Narrow" w:hAnsi="Arial Narrow"/>
          <w:sz w:val="24"/>
          <w:szCs w:val="24"/>
        </w:rPr>
        <w:t>。</w:t>
      </w:r>
    </w:p>
    <w:p w14:paraId="1D3CDF35">
      <w:pPr>
        <w:numPr>
          <w:ilvl w:val="0"/>
          <w:numId w:val="4"/>
        </w:numPr>
        <w:spacing w:line="360" w:lineRule="auto"/>
        <w:ind w:left="0" w:firstLine="527"/>
        <w:rPr>
          <w:rFonts w:ascii="Arial Narrow" w:hAnsi="Arial Narrow" w:eastAsia="黑体" w:cs="黑体"/>
          <w:b/>
          <w:sz w:val="24"/>
          <w:szCs w:val="24"/>
        </w:rPr>
      </w:pPr>
      <w:r>
        <w:rPr>
          <w:rFonts w:ascii="Arial Narrow" w:hAnsi="Arial Narrow" w:eastAsia="黑体" w:cs="黑体"/>
          <w:b/>
          <w:sz w:val="24"/>
          <w:szCs w:val="24"/>
        </w:rPr>
        <w:t>评估方法：</w:t>
      </w:r>
      <w:r>
        <w:rPr>
          <w:rFonts w:hint="eastAsia" w:ascii="Arial Narrow" w:hAnsi="Arial Narrow" w:cs="Arial Narrow"/>
          <w:kern w:val="2"/>
          <w:sz w:val="24"/>
          <w:szCs w:val="24"/>
        </w:rPr>
        <w:t>资产基础</w:t>
      </w:r>
      <w:r>
        <w:rPr>
          <w:rFonts w:asciiTheme="minorEastAsia" w:hAnsiTheme="minorEastAsia" w:eastAsiaTheme="minorEastAsia"/>
          <w:sz w:val="24"/>
          <w:szCs w:val="24"/>
        </w:rPr>
        <w:t>法和收益法</w:t>
      </w:r>
      <w:r>
        <w:rPr>
          <w:rFonts w:ascii="Arial Narrow" w:hAnsi="Arial Narrow"/>
          <w:sz w:val="24"/>
          <w:szCs w:val="24"/>
        </w:rPr>
        <w:t>。</w:t>
      </w:r>
    </w:p>
    <w:p w14:paraId="434BA4CF">
      <w:pPr>
        <w:numPr>
          <w:ilvl w:val="0"/>
          <w:numId w:val="4"/>
        </w:numPr>
        <w:spacing w:line="360" w:lineRule="auto"/>
        <w:ind w:left="0" w:firstLine="527"/>
        <w:rPr>
          <w:rFonts w:ascii="Arial Narrow" w:hAnsi="Arial Narrow" w:eastAsia="黑体" w:cs="黑体"/>
          <w:b/>
          <w:sz w:val="24"/>
          <w:szCs w:val="24"/>
        </w:rPr>
      </w:pPr>
      <w:r>
        <w:rPr>
          <w:rFonts w:ascii="Arial Narrow" w:hAnsi="Arial Narrow" w:eastAsia="黑体" w:cs="黑体"/>
          <w:b/>
          <w:sz w:val="24"/>
          <w:szCs w:val="24"/>
        </w:rPr>
        <w:t>评估结论及其使用有效期：</w:t>
      </w:r>
    </w:p>
    <w:p w14:paraId="47FE67A6">
      <w:pPr>
        <w:spacing w:line="360" w:lineRule="auto"/>
        <w:ind w:firstLine="540" w:firstLineChars="225"/>
        <w:rPr>
          <w:rFonts w:ascii="Arial Narrow" w:hAnsi="Arial Narrow" w:cs="Arial Narrow"/>
          <w:kern w:val="2"/>
          <w:sz w:val="24"/>
          <w:szCs w:val="24"/>
        </w:rPr>
      </w:pPr>
      <w:r>
        <w:rPr>
          <w:rFonts w:hint="eastAsia" w:ascii="Arial Narrow" w:hAnsi="Arial Narrow" w:cs="Arial Narrow"/>
          <w:kern w:val="2"/>
          <w:sz w:val="24"/>
          <w:szCs w:val="24"/>
        </w:rPr>
        <w:t>本次评估以持续经营和公开市场为前提，结合委估对象的实际情况，综合考虑各种影响因素，分别采用资产基础法和收益法两种方法对</w:t>
      </w:r>
      <w:r>
        <w:rPr>
          <w:rFonts w:hint="eastAsia" w:asciiTheme="minorEastAsia" w:hAnsiTheme="minorEastAsia" w:eastAsiaTheme="minorEastAsia"/>
          <w:sz w:val="24"/>
          <w:szCs w:val="24"/>
        </w:rPr>
        <w:t>和县飞雁城乡客运有限公司全部股东权益</w:t>
      </w:r>
      <w:r>
        <w:rPr>
          <w:rFonts w:hint="eastAsia" w:ascii="Arial Narrow" w:hAnsi="Arial Narrow" w:cs="Arial Narrow"/>
          <w:kern w:val="2"/>
          <w:sz w:val="24"/>
          <w:szCs w:val="24"/>
        </w:rPr>
        <w:t>价值进行评估，然后加以比较分析。考虑不同评估方法的适用前提和满足评估目的，本资产评估报告选用资产基础法评估结果作为最终评估结论：基于产权持有人及企业管理层对未来发展趋势的判断及经营规划，</w:t>
      </w:r>
      <w:r>
        <w:rPr>
          <w:rFonts w:hint="eastAsia" w:asciiTheme="minorEastAsia" w:hAnsiTheme="minorEastAsia" w:eastAsiaTheme="minorEastAsia"/>
          <w:sz w:val="24"/>
          <w:szCs w:val="24"/>
        </w:rPr>
        <w:t>和县飞雁城乡客运有限公司全部股东权益</w:t>
      </w:r>
      <w:r>
        <w:rPr>
          <w:rFonts w:hint="eastAsia" w:ascii="Arial Narrow" w:hAnsi="Arial Narrow" w:cs="Arial Narrow"/>
          <w:kern w:val="2"/>
          <w:sz w:val="24"/>
          <w:szCs w:val="24"/>
        </w:rPr>
        <w:t>价值在基准日时点的公允评估价值为</w:t>
      </w:r>
      <w:r>
        <w:rPr>
          <w:rFonts w:hint="eastAsia" w:ascii="Arial Narrow" w:hAnsi="Arial Narrow" w:cs="Arial Narrow"/>
          <w:b/>
          <w:bCs/>
          <w:kern w:val="2"/>
          <w:sz w:val="24"/>
          <w:szCs w:val="24"/>
        </w:rPr>
        <w:t>896.18</w:t>
      </w:r>
      <w:r>
        <w:rPr>
          <w:rFonts w:hint="eastAsia" w:ascii="Arial Narrow" w:hAnsi="Arial Narrow" w:cs="Arial Narrow"/>
          <w:kern w:val="2"/>
          <w:sz w:val="24"/>
          <w:szCs w:val="24"/>
        </w:rPr>
        <w:t>万元。</w:t>
      </w:r>
    </w:p>
    <w:p w14:paraId="05DB2BF7">
      <w:pPr>
        <w:spacing w:line="360" w:lineRule="auto"/>
        <w:ind w:firstLine="540" w:firstLineChars="225"/>
        <w:rPr>
          <w:rFonts w:hint="eastAsia" w:cs="Arial Narrow" w:asciiTheme="minorEastAsia" w:hAnsiTheme="minorEastAsia" w:eastAsiaTheme="minorEastAsia"/>
          <w:kern w:val="2"/>
          <w:sz w:val="24"/>
          <w:szCs w:val="24"/>
        </w:rPr>
      </w:pPr>
      <w:r>
        <w:rPr>
          <w:rFonts w:hint="eastAsia" w:ascii="Arial Narrow" w:hAnsi="Arial Narrow" w:cs="Arial Narrow"/>
          <w:kern w:val="2"/>
          <w:sz w:val="24"/>
          <w:szCs w:val="24"/>
        </w:rPr>
        <w:t>评估报告使用有效期为一年，自评估基准日</w:t>
      </w:r>
      <w:r>
        <w:rPr>
          <w:rFonts w:asciiTheme="minorEastAsia" w:hAnsiTheme="minorEastAsia" w:eastAsiaTheme="minorEastAsia"/>
          <w:sz w:val="24"/>
          <w:szCs w:val="24"/>
        </w:rPr>
        <w:t>2025年</w:t>
      </w:r>
      <w:r>
        <w:rPr>
          <w:rFonts w:hint="eastAsia" w:asciiTheme="minorEastAsia" w:hAnsiTheme="minorEastAsia" w:eastAsiaTheme="minorEastAsia"/>
          <w:sz w:val="24"/>
          <w:szCs w:val="24"/>
        </w:rPr>
        <w:t>8</w:t>
      </w:r>
      <w:r>
        <w:rPr>
          <w:rFonts w:asciiTheme="minorEastAsia" w:hAnsiTheme="minorEastAsia" w:eastAsiaTheme="minorEastAsia"/>
          <w:sz w:val="24"/>
          <w:szCs w:val="24"/>
        </w:rPr>
        <w:t>月31日</w:t>
      </w:r>
      <w:r>
        <w:rPr>
          <w:rFonts w:hint="eastAsia" w:cs="Arial Narrow" w:asciiTheme="minorEastAsia" w:hAnsiTheme="minorEastAsia" w:eastAsiaTheme="minorEastAsia"/>
          <w:kern w:val="2"/>
          <w:sz w:val="24"/>
          <w:szCs w:val="24"/>
        </w:rPr>
        <w:t>起至</w:t>
      </w:r>
      <w:r>
        <w:rPr>
          <w:rFonts w:asciiTheme="minorEastAsia" w:hAnsiTheme="minorEastAsia" w:eastAsiaTheme="minorEastAsia"/>
          <w:sz w:val="24"/>
          <w:szCs w:val="24"/>
        </w:rPr>
        <w:t>2026年</w:t>
      </w:r>
      <w:r>
        <w:rPr>
          <w:rFonts w:hint="eastAsia" w:asciiTheme="minorEastAsia" w:hAnsiTheme="minorEastAsia" w:eastAsiaTheme="minorEastAsia"/>
          <w:sz w:val="24"/>
          <w:szCs w:val="24"/>
        </w:rPr>
        <w:t>8</w:t>
      </w:r>
      <w:r>
        <w:rPr>
          <w:rFonts w:asciiTheme="minorEastAsia" w:hAnsiTheme="minorEastAsia" w:eastAsiaTheme="minorEastAsia"/>
          <w:sz w:val="24"/>
          <w:szCs w:val="24"/>
        </w:rPr>
        <w:t>月30日</w:t>
      </w:r>
      <w:r>
        <w:rPr>
          <w:rFonts w:hint="eastAsia" w:cs="Arial Narrow" w:asciiTheme="minorEastAsia" w:hAnsiTheme="minorEastAsia" w:eastAsiaTheme="minorEastAsia"/>
          <w:kern w:val="2"/>
          <w:sz w:val="24"/>
          <w:szCs w:val="24"/>
        </w:rPr>
        <w:t>。</w:t>
      </w:r>
    </w:p>
    <w:p w14:paraId="44326258">
      <w:pPr>
        <w:numPr>
          <w:ilvl w:val="0"/>
          <w:numId w:val="4"/>
        </w:numPr>
        <w:spacing w:line="360" w:lineRule="auto"/>
        <w:ind w:left="0" w:firstLine="527"/>
        <w:rPr>
          <w:rFonts w:ascii="Arial Narrow" w:hAnsi="Arial Narrow" w:eastAsia="黑体" w:cs="黑体"/>
          <w:b/>
          <w:sz w:val="24"/>
          <w:szCs w:val="24"/>
        </w:rPr>
      </w:pPr>
      <w:r>
        <w:rPr>
          <w:rFonts w:ascii="Arial Narrow" w:hAnsi="Arial Narrow" w:eastAsia="黑体" w:cs="黑体"/>
          <w:b/>
          <w:sz w:val="24"/>
          <w:szCs w:val="24"/>
        </w:rPr>
        <w:t>对评估结论产生影响的特别事项</w:t>
      </w:r>
    </w:p>
    <w:p w14:paraId="5BF3ABF9">
      <w:pPr>
        <w:pStyle w:val="230"/>
        <w:tabs>
          <w:tab w:val="left" w:pos="1134"/>
        </w:tabs>
        <w:ind w:firstLine="480"/>
        <w:rPr>
          <w:rFonts w:eastAsia="宋体"/>
          <w:szCs w:val="24"/>
        </w:rPr>
      </w:pPr>
      <w:r>
        <w:rPr>
          <w:rFonts w:hint="eastAsia" w:eastAsia="宋体"/>
          <w:szCs w:val="24"/>
        </w:rPr>
        <w:t>报告使用人在使用本报告的评估结论时，请注意本报告正文中第十一项“特别事项说明”对评估结论的影响；并关注评估结论成立的评估假设及前提条件。</w:t>
      </w:r>
    </w:p>
    <w:p w14:paraId="2E195FC7">
      <w:pPr>
        <w:pStyle w:val="230"/>
        <w:tabs>
          <w:tab w:val="left" w:pos="1134"/>
        </w:tabs>
        <w:ind w:firstLine="480"/>
        <w:rPr>
          <w:rFonts w:eastAsia="宋体"/>
          <w:szCs w:val="24"/>
        </w:rPr>
      </w:pPr>
      <w:r>
        <w:rPr>
          <w:rFonts w:hint="eastAsia" w:eastAsia="宋体"/>
          <w:szCs w:val="24"/>
        </w:rPr>
        <w:t>对于本报告正文中第十一项“特别事项说明”中有如下事项可能影响评估结论，但非资产评估师执业水平和能力所能评定估算的重大事项，提醒报告使用人特别关注。</w:t>
      </w:r>
    </w:p>
    <w:p w14:paraId="1E7C137C">
      <w:pPr>
        <w:pStyle w:val="230"/>
        <w:tabs>
          <w:tab w:val="left" w:pos="1134"/>
        </w:tabs>
        <w:ind w:firstLine="480"/>
        <w:rPr>
          <w:rFonts w:hint="eastAsia" w:asciiTheme="minorEastAsia" w:hAnsiTheme="minorEastAsia" w:eastAsiaTheme="minorEastAsia"/>
          <w:szCs w:val="24"/>
        </w:rPr>
      </w:pPr>
      <w:r>
        <w:rPr>
          <w:rFonts w:hint="eastAsia" w:eastAsia="宋体"/>
          <w:szCs w:val="24"/>
        </w:rPr>
        <w:t>我们特别强调：本评估意见仅作为交易各方转让股权事宜</w:t>
      </w:r>
      <w:r>
        <w:rPr>
          <w:rFonts w:hint="eastAsia" w:asciiTheme="minorEastAsia" w:hAnsiTheme="minorEastAsia" w:eastAsiaTheme="minorEastAsia"/>
          <w:szCs w:val="24"/>
        </w:rPr>
        <w:t>的价值参考依据，而不能取代交易各方</w:t>
      </w:r>
      <w:r>
        <w:rPr>
          <w:rFonts w:hint="eastAsia" w:eastAsia="宋体"/>
          <w:szCs w:val="24"/>
        </w:rPr>
        <w:t>转让股权事宜</w:t>
      </w:r>
      <w:r>
        <w:rPr>
          <w:rFonts w:hint="eastAsia" w:asciiTheme="minorEastAsia" w:hAnsiTheme="minorEastAsia" w:eastAsiaTheme="minorEastAsia"/>
          <w:szCs w:val="24"/>
        </w:rPr>
        <w:t>价格的决定。</w:t>
      </w:r>
    </w:p>
    <w:p w14:paraId="19044CBF">
      <w:pPr>
        <w:pStyle w:val="230"/>
        <w:tabs>
          <w:tab w:val="left" w:pos="1134"/>
        </w:tabs>
        <w:ind w:firstLine="480"/>
        <w:rPr>
          <w:rFonts w:hint="eastAsia" w:asciiTheme="minorEastAsia" w:hAnsiTheme="minorEastAsia" w:eastAsiaTheme="minorEastAsia"/>
          <w:szCs w:val="24"/>
        </w:rPr>
      </w:pPr>
      <w:r>
        <w:rPr>
          <w:rFonts w:hint="eastAsia" w:asciiTheme="minorEastAsia" w:hAnsiTheme="minorEastAsia" w:eastAsiaTheme="minorEastAsia"/>
          <w:szCs w:val="24"/>
        </w:rPr>
        <w:t>本报告及其结论仅用于本报告设定的评估目的，而不能用于其他目的。</w:t>
      </w:r>
    </w:p>
    <w:p w14:paraId="550106EA">
      <w:pPr>
        <w:pStyle w:val="230"/>
        <w:tabs>
          <w:tab w:val="left" w:pos="1134"/>
        </w:tabs>
        <w:ind w:firstLine="480"/>
        <w:rPr>
          <w:rFonts w:hint="eastAsia" w:cs="Arial Narrow" w:asciiTheme="minorEastAsia" w:hAnsiTheme="minorEastAsia" w:eastAsiaTheme="minorEastAsia"/>
          <w:kern w:val="2"/>
          <w:szCs w:val="24"/>
        </w:rPr>
      </w:pPr>
      <w:r>
        <w:rPr>
          <w:rFonts w:hint="eastAsia" w:asciiTheme="minorEastAsia" w:hAnsiTheme="minorEastAsia" w:eastAsiaTheme="minorEastAsia"/>
          <w:szCs w:val="24"/>
        </w:rPr>
        <w:t>根据国家的有关规定，本评估结论使用的有效期限为1年，自评估基准日2025年8月31日起，至2026年8月30日止。</w:t>
      </w:r>
    </w:p>
    <w:p w14:paraId="23731C72">
      <w:pPr>
        <w:pStyle w:val="230"/>
        <w:rPr>
          <w:rFonts w:eastAsia="黑体" w:cs="黑体"/>
          <w:color w:val="FF0000"/>
          <w:kern w:val="2"/>
        </w:rPr>
      </w:pPr>
      <w:r>
        <w:rPr>
          <w:rFonts w:eastAsia="黑体" w:cs="黑体"/>
          <w:b/>
          <w:kern w:val="2"/>
          <w:szCs w:val="24"/>
        </w:rPr>
        <w:t>以上内容摘自评估报告正文，欲了解本评估项目的详细情况和合理理解评估结论，应当阅读评估报告正文。</w:t>
      </w:r>
    </w:p>
    <w:p w14:paraId="1217084D">
      <w:pPr>
        <w:pStyle w:val="230"/>
        <w:ind w:firstLine="0"/>
        <w:jc w:val="right"/>
        <w:rPr>
          <w:rFonts w:eastAsia="黑体" w:cs="黑体"/>
          <w:color w:val="FF0000"/>
          <w:kern w:val="2"/>
        </w:rPr>
      </w:pPr>
    </w:p>
    <w:p w14:paraId="18A61F02">
      <w:pPr>
        <w:pStyle w:val="230"/>
        <w:ind w:firstLine="0"/>
        <w:jc w:val="right"/>
        <w:rPr>
          <w:rFonts w:eastAsia="黑体" w:cs="黑体"/>
          <w:color w:val="FF0000"/>
          <w:kern w:val="2"/>
        </w:rPr>
      </w:pPr>
    </w:p>
    <w:p w14:paraId="38004992"/>
    <w:p w14:paraId="7E134891"/>
    <w:p w14:paraId="44D3DD69"/>
    <w:p w14:paraId="0EE1CD01"/>
    <w:p w14:paraId="07825A43"/>
    <w:p w14:paraId="2ECD66FA"/>
    <w:p w14:paraId="18F445DC"/>
    <w:p w14:paraId="6E28D5DF"/>
    <w:p w14:paraId="2FA1BAC2"/>
    <w:p w14:paraId="6A8669EF"/>
    <w:p w14:paraId="419ADE46"/>
    <w:p w14:paraId="6D4E0535">
      <w:pPr>
        <w:tabs>
          <w:tab w:val="left" w:pos="2616"/>
        </w:tabs>
      </w:pPr>
      <w:r>
        <w:tab/>
      </w:r>
    </w:p>
    <w:p w14:paraId="652AC407">
      <w:pPr>
        <w:tabs>
          <w:tab w:val="left" w:pos="2616"/>
        </w:tabs>
        <w:sectPr>
          <w:headerReference r:id="rId14" w:type="default"/>
          <w:footerReference r:id="rId15" w:type="default"/>
          <w:pgSz w:w="11907" w:h="16840"/>
          <w:pgMar w:top="1302" w:right="1134" w:bottom="1418" w:left="1588" w:header="709" w:footer="601" w:gutter="0"/>
          <w:cols w:space="720" w:num="1"/>
          <w:docGrid w:linePitch="462" w:charSpace="0"/>
        </w:sectPr>
      </w:pPr>
      <w:r>
        <w:tab/>
      </w:r>
    </w:p>
    <w:p w14:paraId="0AF9E918">
      <w:pPr>
        <w:widowControl/>
        <w:autoSpaceDE w:val="0"/>
        <w:autoSpaceDN w:val="0"/>
        <w:spacing w:before="40" w:after="40"/>
        <w:ind w:left="-292" w:leftChars="-86" w:right="-195"/>
        <w:jc w:val="center"/>
        <w:textAlignment w:val="bottom"/>
        <w:rPr>
          <w:rFonts w:ascii="黑体" w:hAnsi="Arial Narrow" w:eastAsia="黑体"/>
          <w:b/>
          <w:spacing w:val="8"/>
          <w:sz w:val="32"/>
          <w:szCs w:val="32"/>
        </w:rPr>
      </w:pPr>
      <w:bookmarkStart w:id="7" w:name="_Toc7254"/>
      <w:bookmarkStart w:id="8" w:name="_Toc433891565"/>
      <w:bookmarkStart w:id="9" w:name="_Toc508451364"/>
      <w:r>
        <w:rPr>
          <w:rFonts w:hint="eastAsia" w:ascii="黑体" w:hAnsi="Arial Narrow" w:eastAsia="黑体"/>
          <w:b/>
          <w:spacing w:val="8"/>
          <w:sz w:val="32"/>
          <w:szCs w:val="32"/>
        </w:rPr>
        <w:t>安徽交运集团巢湖汽运有限公司拟转让持有的</w:t>
      </w:r>
    </w:p>
    <w:p w14:paraId="306FF3BE">
      <w:pPr>
        <w:widowControl/>
        <w:autoSpaceDE w:val="0"/>
        <w:autoSpaceDN w:val="0"/>
        <w:spacing w:before="40" w:after="40"/>
        <w:ind w:left="-292" w:leftChars="-86" w:right="-195"/>
        <w:jc w:val="center"/>
        <w:textAlignment w:val="bottom"/>
        <w:rPr>
          <w:rFonts w:ascii="黑体" w:hAnsi="Arial Narrow" w:eastAsia="黑体"/>
          <w:b/>
          <w:spacing w:val="8"/>
          <w:sz w:val="32"/>
          <w:szCs w:val="32"/>
        </w:rPr>
      </w:pPr>
      <w:r>
        <w:rPr>
          <w:rFonts w:hint="eastAsia" w:ascii="黑体" w:hAnsi="Arial Narrow" w:eastAsia="黑体"/>
          <w:b/>
          <w:spacing w:val="8"/>
          <w:sz w:val="32"/>
          <w:szCs w:val="32"/>
        </w:rPr>
        <w:t>和县飞雁城乡客运有限公司51%股权事宜</w:t>
      </w:r>
    </w:p>
    <w:p w14:paraId="51E69870">
      <w:pPr>
        <w:widowControl/>
        <w:autoSpaceDE w:val="0"/>
        <w:autoSpaceDN w:val="0"/>
        <w:spacing w:before="40" w:after="40"/>
        <w:ind w:left="-292" w:leftChars="-86" w:right="-195"/>
        <w:jc w:val="center"/>
        <w:textAlignment w:val="bottom"/>
        <w:rPr>
          <w:rFonts w:ascii="黑体" w:hAnsi="Arial Narrow" w:eastAsia="黑体"/>
          <w:b/>
          <w:spacing w:val="8"/>
          <w:sz w:val="32"/>
          <w:szCs w:val="32"/>
        </w:rPr>
      </w:pPr>
      <w:r>
        <w:rPr>
          <w:rFonts w:hint="eastAsia" w:ascii="黑体" w:hAnsi="Arial Narrow" w:eastAsia="黑体"/>
          <w:b/>
          <w:spacing w:val="8"/>
          <w:sz w:val="32"/>
          <w:szCs w:val="32"/>
        </w:rPr>
        <w:t>涉及的和县飞雁城乡客运有限公司</w:t>
      </w:r>
    </w:p>
    <w:p w14:paraId="1672E76B">
      <w:pPr>
        <w:widowControl/>
        <w:autoSpaceDE w:val="0"/>
        <w:autoSpaceDN w:val="0"/>
        <w:spacing w:before="40" w:after="40"/>
        <w:ind w:left="-292" w:leftChars="-86" w:right="-195"/>
        <w:jc w:val="center"/>
        <w:textAlignment w:val="bottom"/>
        <w:rPr>
          <w:rFonts w:ascii="黑体" w:hAnsi="Arial Narrow" w:eastAsia="黑体"/>
          <w:b/>
          <w:spacing w:val="8"/>
          <w:sz w:val="32"/>
          <w:szCs w:val="32"/>
        </w:rPr>
      </w:pPr>
      <w:r>
        <w:rPr>
          <w:rFonts w:hint="eastAsia" w:ascii="黑体" w:hAnsi="Arial Narrow" w:eastAsia="黑体"/>
          <w:b/>
          <w:spacing w:val="8"/>
          <w:sz w:val="32"/>
          <w:szCs w:val="32"/>
        </w:rPr>
        <w:t>全部股东权益价值项目</w:t>
      </w:r>
    </w:p>
    <w:p w14:paraId="78CBCDF7">
      <w:pPr>
        <w:pStyle w:val="2"/>
        <w:spacing w:before="120" w:after="0" w:line="360" w:lineRule="auto"/>
        <w:jc w:val="center"/>
        <w:rPr>
          <w:rFonts w:ascii="Arial Narrow" w:hAnsi="Arial Narrow" w:eastAsia="黑体"/>
          <w:sz w:val="36"/>
          <w:szCs w:val="36"/>
        </w:rPr>
      </w:pPr>
      <w:r>
        <w:rPr>
          <w:rFonts w:ascii="Arial Narrow" w:hAnsi="Arial Narrow" w:eastAsia="黑体"/>
          <w:sz w:val="36"/>
          <w:szCs w:val="36"/>
        </w:rPr>
        <w:t>资产评估报告·正文</w:t>
      </w:r>
      <w:bookmarkEnd w:id="7"/>
      <w:bookmarkEnd w:id="8"/>
      <w:bookmarkEnd w:id="9"/>
    </w:p>
    <w:p w14:paraId="3DA9645B">
      <w:pPr>
        <w:pStyle w:val="44"/>
        <w:ind w:left="0" w:firstLine="0"/>
        <w:jc w:val="center"/>
        <w:rPr>
          <w:rFonts w:ascii="Arial Narrow" w:hAnsi="Arial Narrow"/>
          <w:b/>
          <w:sz w:val="24"/>
          <w:szCs w:val="24"/>
        </w:rPr>
      </w:pPr>
      <w:r>
        <w:rPr>
          <w:rFonts w:hint="eastAsia" w:ascii="Arial Narrow" w:hAnsi="Arial Narrow"/>
          <w:b/>
          <w:sz w:val="24"/>
          <w:szCs w:val="24"/>
        </w:rPr>
        <w:t>茂福</w:t>
      </w:r>
      <w:r>
        <w:rPr>
          <w:rFonts w:ascii="Arial Narrow" w:hAnsi="Arial Narrow"/>
          <w:b/>
          <w:sz w:val="24"/>
          <w:szCs w:val="24"/>
        </w:rPr>
        <w:t>评报字</w:t>
      </w:r>
      <w:r>
        <w:rPr>
          <w:rFonts w:asciiTheme="minorEastAsia" w:hAnsiTheme="minorEastAsia" w:eastAsiaTheme="minorEastAsia"/>
          <w:b/>
          <w:sz w:val="24"/>
          <w:szCs w:val="24"/>
        </w:rPr>
        <w:t>（20</w:t>
      </w:r>
      <w:r>
        <w:rPr>
          <w:rFonts w:hint="eastAsia" w:asciiTheme="minorEastAsia" w:hAnsiTheme="minorEastAsia" w:eastAsiaTheme="minorEastAsia"/>
          <w:b/>
          <w:sz w:val="24"/>
          <w:szCs w:val="24"/>
        </w:rPr>
        <w:t>25</w:t>
      </w:r>
      <w:r>
        <w:rPr>
          <w:rFonts w:asciiTheme="minorEastAsia" w:hAnsiTheme="minorEastAsia" w:eastAsiaTheme="minorEastAsia"/>
          <w:b/>
          <w:sz w:val="24"/>
          <w:szCs w:val="24"/>
        </w:rPr>
        <w:t>）第0</w:t>
      </w:r>
      <w:r>
        <w:rPr>
          <w:rFonts w:hint="eastAsia" w:asciiTheme="minorEastAsia" w:hAnsiTheme="minorEastAsia" w:eastAsiaTheme="minorEastAsia"/>
          <w:b/>
          <w:sz w:val="24"/>
          <w:szCs w:val="24"/>
        </w:rPr>
        <w:t>29</w:t>
      </w:r>
      <w:r>
        <w:rPr>
          <w:rFonts w:ascii="Arial Narrow" w:hAnsi="Arial Narrow"/>
          <w:b/>
          <w:sz w:val="24"/>
          <w:szCs w:val="24"/>
        </w:rPr>
        <w:t>号</w:t>
      </w:r>
    </w:p>
    <w:p w14:paraId="267BD8FE">
      <w:pPr>
        <w:pStyle w:val="44"/>
        <w:pBdr>
          <w:bottom w:val="single" w:color="auto" w:sz="6" w:space="1"/>
        </w:pBdr>
        <w:ind w:left="0" w:firstLine="0"/>
        <w:jc w:val="center"/>
        <w:rPr>
          <w:rFonts w:ascii="Arial Narrow" w:hAnsi="Arial Narrow"/>
          <w:b/>
          <w:color w:val="FF0000"/>
          <w:sz w:val="10"/>
        </w:rPr>
      </w:pPr>
    </w:p>
    <w:p w14:paraId="78404B42">
      <w:pPr>
        <w:spacing w:line="360" w:lineRule="auto"/>
        <w:ind w:firstLine="540" w:firstLineChars="225"/>
        <w:rPr>
          <w:rFonts w:ascii="Arial Narrow" w:hAnsi="Arial Narrow"/>
          <w:sz w:val="24"/>
          <w:szCs w:val="24"/>
        </w:rPr>
      </w:pPr>
    </w:p>
    <w:p w14:paraId="55940BA7">
      <w:pPr>
        <w:spacing w:line="360" w:lineRule="auto"/>
        <w:rPr>
          <w:rFonts w:ascii="Arial Narrow" w:hAnsi="Arial Narrow" w:eastAsia="黑体" w:cs="黑体"/>
          <w:b/>
          <w:sz w:val="24"/>
        </w:rPr>
      </w:pPr>
      <w:r>
        <w:rPr>
          <w:rFonts w:hint="eastAsia" w:cs="黑体" w:asciiTheme="minorEastAsia" w:hAnsiTheme="minorEastAsia" w:eastAsiaTheme="minorEastAsia"/>
          <w:b/>
          <w:sz w:val="24"/>
        </w:rPr>
        <w:t>安徽交运集团巢湖汽运有限公司</w:t>
      </w:r>
      <w:r>
        <w:rPr>
          <w:rFonts w:ascii="Arial Narrow" w:hAnsi="Arial Narrow" w:eastAsia="黑体" w:cs="黑体"/>
          <w:b/>
          <w:sz w:val="24"/>
        </w:rPr>
        <w:t>：</w:t>
      </w:r>
    </w:p>
    <w:p w14:paraId="2B8FD611">
      <w:pPr>
        <w:spacing w:line="360" w:lineRule="auto"/>
        <w:ind w:firstLine="540" w:firstLineChars="225"/>
        <w:rPr>
          <w:rFonts w:hint="eastAsia" w:asciiTheme="minorEastAsia" w:hAnsiTheme="minorEastAsia" w:eastAsiaTheme="minorEastAsia"/>
          <w:sz w:val="24"/>
          <w:szCs w:val="24"/>
        </w:rPr>
      </w:pPr>
      <w:r>
        <w:rPr>
          <w:rFonts w:ascii="Arial Narrow" w:hAnsi="Arial Narrow"/>
          <w:sz w:val="24"/>
          <w:szCs w:val="24"/>
        </w:rPr>
        <w:t>安徽省茂福资产评估事务所（有限合伙）接受</w:t>
      </w:r>
      <w:r>
        <w:rPr>
          <w:rFonts w:hint="eastAsia" w:ascii="Arial Narrow" w:hAnsi="Arial Narrow"/>
          <w:color w:val="000000" w:themeColor="text1"/>
          <w:sz w:val="24"/>
          <w:szCs w:val="24"/>
          <w14:textFill>
            <w14:solidFill>
              <w14:schemeClr w14:val="tx1"/>
            </w14:solidFill>
          </w14:textFill>
        </w:rPr>
        <w:t>贵公司</w:t>
      </w:r>
      <w:r>
        <w:rPr>
          <w:rFonts w:ascii="Arial Narrow" w:hAnsi="Arial Narrow"/>
          <w:color w:val="000000" w:themeColor="text1"/>
          <w:sz w:val="24"/>
          <w:szCs w:val="24"/>
          <w14:textFill>
            <w14:solidFill>
              <w14:schemeClr w14:val="tx1"/>
            </w14:solidFill>
          </w14:textFill>
        </w:rPr>
        <w:t>的委托，根据有关法律、法规和</w:t>
      </w:r>
      <w:r>
        <w:rPr>
          <w:rFonts w:hint="eastAsia" w:ascii="Arial Narrow" w:hAnsi="Arial Narrow"/>
          <w:color w:val="000000" w:themeColor="text1"/>
          <w:sz w:val="24"/>
          <w:szCs w:val="24"/>
          <w14:textFill>
            <w14:solidFill>
              <w14:schemeClr w14:val="tx1"/>
            </w14:solidFill>
          </w14:textFill>
        </w:rPr>
        <w:t>资产评估执业准则</w:t>
      </w:r>
      <w:r>
        <w:rPr>
          <w:rFonts w:ascii="Arial Narrow" w:hAnsi="Arial Narrow"/>
          <w:color w:val="000000" w:themeColor="text1"/>
          <w:sz w:val="24"/>
          <w:szCs w:val="24"/>
          <w14:textFill>
            <w14:solidFill>
              <w14:schemeClr w14:val="tx1"/>
            </w14:solidFill>
          </w14:textFill>
        </w:rPr>
        <w:t>、资产评估原则，按照必要的评估程序，以持续经营和公开市场原则为前提，并结合委估对象的实际情况，采</w:t>
      </w:r>
      <w:r>
        <w:rPr>
          <w:rFonts w:hint="eastAsia" w:ascii="Arial Narrow" w:hAnsi="Arial Narrow"/>
          <w:color w:val="000000" w:themeColor="text1"/>
          <w:sz w:val="24"/>
          <w:szCs w:val="24"/>
          <w14:textFill>
            <w14:solidFill>
              <w14:schemeClr w14:val="tx1"/>
            </w14:solidFill>
          </w14:textFill>
        </w:rPr>
        <w:t>用</w:t>
      </w:r>
      <w:r>
        <w:rPr>
          <w:rFonts w:hint="eastAsia" w:asciiTheme="minorEastAsia" w:hAnsiTheme="minorEastAsia" w:eastAsiaTheme="minorEastAsia"/>
          <w:color w:val="000000" w:themeColor="text1"/>
          <w:sz w:val="24"/>
          <w:szCs w:val="24"/>
          <w14:textFill>
            <w14:solidFill>
              <w14:schemeClr w14:val="tx1"/>
            </w14:solidFill>
          </w14:textFill>
        </w:rPr>
        <w:t>资产基础法和收益法，</w:t>
      </w:r>
      <w:r>
        <w:rPr>
          <w:rFonts w:asciiTheme="minorEastAsia" w:hAnsiTheme="minorEastAsia" w:eastAsiaTheme="minorEastAsia"/>
          <w:color w:val="000000" w:themeColor="text1"/>
          <w:sz w:val="24"/>
          <w:szCs w:val="24"/>
          <w14:textFill>
            <w14:solidFill>
              <w14:schemeClr w14:val="tx1"/>
            </w14:solidFill>
          </w14:textFill>
        </w:rPr>
        <w:t>对</w:t>
      </w:r>
      <w:r>
        <w:rPr>
          <w:rFonts w:hint="eastAsia" w:ascii="Arial Narrow" w:hAnsi="Arial Narrow"/>
          <w:color w:val="000000" w:themeColor="text1"/>
          <w:sz w:val="24"/>
          <w:szCs w:val="24"/>
          <w14:textFill>
            <w14:solidFill>
              <w14:schemeClr w14:val="tx1"/>
            </w14:solidFill>
          </w14:textFill>
        </w:rPr>
        <w:t>贵公司</w:t>
      </w:r>
      <w:r>
        <w:rPr>
          <w:rFonts w:hint="eastAsia" w:asciiTheme="minorEastAsia" w:hAnsiTheme="minorEastAsia" w:eastAsiaTheme="minorEastAsia"/>
          <w:color w:val="000000" w:themeColor="text1"/>
          <w:sz w:val="24"/>
          <w:szCs w:val="24"/>
          <w14:textFill>
            <w14:solidFill>
              <w14:schemeClr w14:val="tx1"/>
            </w14:solidFill>
          </w14:textFill>
        </w:rPr>
        <w:t>委</w:t>
      </w:r>
      <w:r>
        <w:rPr>
          <w:rFonts w:hint="eastAsia" w:asciiTheme="minorEastAsia" w:hAnsiTheme="minorEastAsia" w:eastAsiaTheme="minorEastAsia"/>
          <w:sz w:val="24"/>
          <w:szCs w:val="24"/>
        </w:rPr>
        <w:t>托的和县飞雁城乡客运有限公司</w:t>
      </w:r>
      <w:r>
        <w:rPr>
          <w:rFonts w:hint="eastAsia" w:ascii="Arial Narrow" w:hAnsi="Arial Narrow" w:cs="Arial Narrow"/>
          <w:kern w:val="2"/>
          <w:sz w:val="24"/>
          <w:szCs w:val="24"/>
        </w:rPr>
        <w:t>全部股东权益的市场</w:t>
      </w:r>
      <w:r>
        <w:rPr>
          <w:rFonts w:asciiTheme="minorEastAsia" w:hAnsiTheme="minorEastAsia" w:eastAsiaTheme="minorEastAsia"/>
          <w:sz w:val="24"/>
          <w:szCs w:val="24"/>
        </w:rPr>
        <w:t>价值进行评估。现将资产评估情况及结果报告如下：</w:t>
      </w:r>
    </w:p>
    <w:p w14:paraId="48142031">
      <w:pPr>
        <w:pStyle w:val="3"/>
        <w:numPr>
          <w:ilvl w:val="0"/>
          <w:numId w:val="5"/>
        </w:numPr>
        <w:spacing w:before="240" w:after="0" w:line="360" w:lineRule="auto"/>
        <w:ind w:left="0" w:firstLine="567"/>
        <w:rPr>
          <w:rFonts w:ascii="Arial Narrow" w:hAnsi="Arial Narrow" w:cs="Arial Narrow"/>
          <w:sz w:val="28"/>
          <w:szCs w:val="28"/>
        </w:rPr>
      </w:pPr>
      <w:bookmarkStart w:id="10" w:name="_Toc25919"/>
      <w:bookmarkStart w:id="11" w:name="_Toc508451365"/>
      <w:bookmarkStart w:id="12" w:name="_Toc433891566"/>
      <w:r>
        <w:rPr>
          <w:rFonts w:hint="eastAsia" w:ascii="Arial Narrow" w:hAnsi="Arial Narrow" w:cs="Arial Narrow"/>
          <w:sz w:val="28"/>
          <w:szCs w:val="28"/>
        </w:rPr>
        <w:t>委托人</w:t>
      </w:r>
      <w:r>
        <w:rPr>
          <w:rFonts w:ascii="Arial Narrow" w:hAnsi="Arial Narrow" w:cs="Arial Narrow"/>
          <w:sz w:val="28"/>
          <w:szCs w:val="28"/>
        </w:rPr>
        <w:t>、被评估单位</w:t>
      </w:r>
      <w:r>
        <w:rPr>
          <w:rFonts w:hint="eastAsia" w:ascii="Arial Narrow" w:hAnsi="Arial Narrow" w:cs="Arial Narrow"/>
          <w:sz w:val="28"/>
          <w:szCs w:val="28"/>
        </w:rPr>
        <w:t>及</w:t>
      </w:r>
      <w:r>
        <w:rPr>
          <w:rFonts w:ascii="Arial Narrow" w:hAnsi="Arial Narrow" w:cs="Arial Narrow"/>
          <w:sz w:val="28"/>
          <w:szCs w:val="28"/>
        </w:rPr>
        <w:t>其他评估报告使用</w:t>
      </w:r>
      <w:r>
        <w:rPr>
          <w:rFonts w:hint="eastAsia" w:ascii="Arial Narrow" w:hAnsi="Arial Narrow" w:cs="Arial Narrow"/>
          <w:sz w:val="28"/>
          <w:szCs w:val="28"/>
        </w:rPr>
        <w:t>人</w:t>
      </w:r>
      <w:bookmarkEnd w:id="10"/>
      <w:bookmarkEnd w:id="11"/>
      <w:bookmarkEnd w:id="12"/>
    </w:p>
    <w:p w14:paraId="4723E5B8">
      <w:pPr>
        <w:pStyle w:val="4"/>
        <w:spacing w:line="360" w:lineRule="auto"/>
        <w:ind w:firstLine="480" w:firstLineChars="200"/>
        <w:jc w:val="left"/>
        <w:rPr>
          <w:rFonts w:ascii="Arial Narrow" w:hAnsi="Arial Narrow"/>
          <w:sz w:val="24"/>
          <w:szCs w:val="24"/>
        </w:rPr>
      </w:pPr>
      <w:r>
        <w:rPr>
          <w:rFonts w:hint="eastAsia" w:ascii="Arial Narrow" w:hAnsi="Arial Narrow"/>
          <w:sz w:val="24"/>
          <w:szCs w:val="24"/>
        </w:rPr>
        <w:t>本次评估的委托人为安徽交运集团巢湖汽运有限公司，</w:t>
      </w:r>
      <w:r>
        <w:rPr>
          <w:rFonts w:hint="eastAsia" w:asciiTheme="minorEastAsia" w:hAnsiTheme="minorEastAsia" w:eastAsiaTheme="minorEastAsia"/>
          <w:sz w:val="24"/>
          <w:szCs w:val="24"/>
        </w:rPr>
        <w:t>被评估单位</w:t>
      </w:r>
      <w:r>
        <w:rPr>
          <w:rFonts w:hint="eastAsia" w:ascii="Arial Narrow" w:hAnsi="Arial Narrow"/>
          <w:sz w:val="24"/>
          <w:szCs w:val="24"/>
        </w:rPr>
        <w:t>为</w:t>
      </w:r>
      <w:r>
        <w:rPr>
          <w:rFonts w:hint="eastAsia" w:asciiTheme="minorEastAsia" w:hAnsiTheme="minorEastAsia" w:eastAsiaTheme="minorEastAsia"/>
          <w:sz w:val="24"/>
          <w:szCs w:val="24"/>
        </w:rPr>
        <w:t>和县飞雁城乡客运有限公司</w:t>
      </w:r>
      <w:r>
        <w:rPr>
          <w:rFonts w:hint="eastAsia" w:ascii="Arial Narrow" w:hAnsi="Arial Narrow"/>
          <w:sz w:val="24"/>
          <w:szCs w:val="24"/>
        </w:rPr>
        <w:t>。</w:t>
      </w:r>
    </w:p>
    <w:p w14:paraId="4730AF97">
      <w:pPr>
        <w:pStyle w:val="4"/>
        <w:numPr>
          <w:ilvl w:val="0"/>
          <w:numId w:val="6"/>
        </w:numPr>
        <w:spacing w:before="120" w:beforeLines="50" w:line="360" w:lineRule="auto"/>
        <w:ind w:left="0" w:firstLine="482" w:firstLineChars="200"/>
        <w:rPr>
          <w:rFonts w:hint="eastAsia" w:cs="Arial Narrow" w:asciiTheme="minorEastAsia" w:hAnsiTheme="minorEastAsia" w:eastAsiaTheme="minorEastAsia"/>
          <w:b/>
          <w:sz w:val="24"/>
        </w:rPr>
      </w:pPr>
      <w:r>
        <w:rPr>
          <w:rFonts w:hint="eastAsia" w:cs="Arial Narrow" w:asciiTheme="minorEastAsia" w:hAnsiTheme="minorEastAsia" w:eastAsiaTheme="minorEastAsia"/>
          <w:b/>
          <w:sz w:val="24"/>
        </w:rPr>
        <w:t>委托人</w:t>
      </w:r>
      <w:bookmarkStart w:id="13" w:name="_Hlk508398637"/>
      <w:r>
        <w:rPr>
          <w:rFonts w:hint="eastAsia" w:cs="Arial Narrow" w:asciiTheme="minorEastAsia" w:hAnsiTheme="minorEastAsia" w:eastAsiaTheme="minorEastAsia"/>
          <w:b/>
          <w:sz w:val="24"/>
        </w:rPr>
        <w:t>情况</w:t>
      </w:r>
      <w:bookmarkEnd w:id="13"/>
    </w:p>
    <w:p w14:paraId="31CD1557">
      <w:pPr>
        <w:spacing w:line="360" w:lineRule="auto"/>
        <w:ind w:left="480"/>
        <w:rPr>
          <w:rFonts w:ascii="Arial Narrow" w:hAnsi="Arial Narrow" w:cs="Arial Narrow"/>
          <w:sz w:val="24"/>
          <w:szCs w:val="24"/>
        </w:rPr>
      </w:pPr>
      <w:bookmarkStart w:id="14" w:name="_Hlk508398663"/>
      <w:r>
        <w:rPr>
          <w:rFonts w:hint="eastAsia" w:ascii="Arial Narrow" w:hAnsi="Arial Narrow" w:cs="Arial Narrow"/>
          <w:sz w:val="24"/>
          <w:szCs w:val="24"/>
        </w:rPr>
        <w:t>1、</w:t>
      </w:r>
      <w:r>
        <w:rPr>
          <w:rFonts w:ascii="Arial Narrow" w:hAnsi="Arial Narrow" w:cs="Arial Narrow"/>
          <w:sz w:val="24"/>
          <w:szCs w:val="24"/>
        </w:rPr>
        <w:t>基本情况</w:t>
      </w:r>
    </w:p>
    <w:p w14:paraId="23B86A26">
      <w:pPr>
        <w:pStyle w:val="31"/>
        <w:snapToGrid w:val="0"/>
        <w:spacing w:line="360" w:lineRule="auto"/>
        <w:ind w:firstLine="480" w:firstLineChars="200"/>
        <w:rPr>
          <w:rFonts w:ascii="Arial Narrow" w:hAnsi="Arial Narrow" w:cs="Arial Narrow"/>
          <w:sz w:val="24"/>
          <w:szCs w:val="24"/>
        </w:rPr>
      </w:pPr>
      <w:r>
        <w:rPr>
          <w:rFonts w:hint="eastAsia" w:ascii="Arial Narrow" w:hAnsi="Arial Narrow" w:cs="Arial Narrow"/>
          <w:sz w:val="24"/>
          <w:szCs w:val="24"/>
        </w:rPr>
        <w:t>公司名称：</w:t>
      </w:r>
      <w:r>
        <w:rPr>
          <w:rFonts w:hint="eastAsia" w:ascii="Arial Narrow" w:hAnsi="Arial Narrow"/>
          <w:sz w:val="24"/>
          <w:szCs w:val="24"/>
        </w:rPr>
        <w:t>安徽交运集团巢湖汽运有限公司</w:t>
      </w:r>
      <w:r>
        <w:rPr>
          <w:rFonts w:hint="eastAsia" w:ascii="Arial Narrow" w:hAnsi="Arial Narrow" w:cs="Arial Narrow"/>
          <w:sz w:val="24"/>
          <w:szCs w:val="24"/>
        </w:rPr>
        <w:t>（以下简称“</w:t>
      </w:r>
      <w:r>
        <w:rPr>
          <w:rFonts w:hint="eastAsia" w:asciiTheme="minorEastAsia" w:hAnsiTheme="minorEastAsia" w:eastAsiaTheme="minorEastAsia"/>
          <w:sz w:val="24"/>
          <w:szCs w:val="24"/>
        </w:rPr>
        <w:t>巢湖汽运</w:t>
      </w:r>
      <w:r>
        <w:rPr>
          <w:rFonts w:hint="eastAsia" w:ascii="Arial Narrow" w:hAnsi="Arial Narrow" w:cs="Arial Narrow"/>
          <w:sz w:val="24"/>
          <w:szCs w:val="24"/>
        </w:rPr>
        <w:t>”）</w:t>
      </w:r>
    </w:p>
    <w:p w14:paraId="74CCE87A">
      <w:pPr>
        <w:pStyle w:val="31"/>
        <w:snapToGrid w:val="0"/>
        <w:spacing w:line="360" w:lineRule="auto"/>
        <w:ind w:firstLine="480" w:firstLineChars="200"/>
        <w:rPr>
          <w:rFonts w:ascii="Arial Narrow" w:hAnsi="Arial Narrow" w:cs="Arial Narrow"/>
          <w:sz w:val="24"/>
          <w:szCs w:val="24"/>
        </w:rPr>
      </w:pPr>
      <w:r>
        <w:rPr>
          <w:rFonts w:hint="eastAsia" w:ascii="Arial Narrow" w:hAnsi="Arial Narrow" w:cs="Arial Narrow"/>
          <w:sz w:val="24"/>
          <w:szCs w:val="24"/>
        </w:rPr>
        <w:t>公司类型：有限责任公司（非自然人投资或控股的法人独资)</w:t>
      </w:r>
    </w:p>
    <w:p w14:paraId="73FF84C2">
      <w:pPr>
        <w:pStyle w:val="31"/>
        <w:snapToGrid w:val="0"/>
        <w:spacing w:line="360" w:lineRule="auto"/>
        <w:ind w:firstLine="480" w:firstLineChars="200"/>
        <w:rPr>
          <w:rFonts w:ascii="Arial Narrow" w:hAnsi="Arial Narrow" w:cs="Arial Narrow"/>
          <w:sz w:val="24"/>
          <w:szCs w:val="24"/>
        </w:rPr>
      </w:pPr>
      <w:r>
        <w:rPr>
          <w:rFonts w:hint="eastAsia" w:ascii="Arial Narrow" w:hAnsi="Arial Narrow" w:cs="Arial Narrow"/>
          <w:sz w:val="24"/>
          <w:szCs w:val="24"/>
        </w:rPr>
        <w:t>注册地址：安徽省巢湖市太湖山路汽车站</w:t>
      </w:r>
    </w:p>
    <w:p w14:paraId="2C94EACF">
      <w:pPr>
        <w:pStyle w:val="31"/>
        <w:snapToGrid w:val="0"/>
        <w:spacing w:line="360" w:lineRule="auto"/>
        <w:ind w:firstLine="480" w:firstLineChars="200"/>
        <w:rPr>
          <w:rFonts w:ascii="Arial Narrow" w:hAnsi="Arial Narrow" w:cs="Arial Narrow"/>
          <w:sz w:val="24"/>
          <w:szCs w:val="24"/>
        </w:rPr>
      </w:pPr>
      <w:r>
        <w:rPr>
          <w:rFonts w:hint="eastAsia" w:ascii="Arial Narrow" w:hAnsi="Arial Narrow" w:cs="Arial Narrow"/>
          <w:sz w:val="24"/>
          <w:szCs w:val="24"/>
        </w:rPr>
        <w:t>法定代表人：温祖高</w:t>
      </w:r>
    </w:p>
    <w:p w14:paraId="6800C311">
      <w:pPr>
        <w:pStyle w:val="31"/>
        <w:snapToGrid w:val="0"/>
        <w:spacing w:line="360" w:lineRule="auto"/>
        <w:ind w:firstLine="480" w:firstLineChars="200"/>
        <w:rPr>
          <w:rFonts w:ascii="Arial Narrow" w:hAnsi="Arial Narrow" w:cs="Arial Narrow"/>
          <w:sz w:val="24"/>
          <w:szCs w:val="24"/>
        </w:rPr>
      </w:pPr>
      <w:r>
        <w:rPr>
          <w:rFonts w:hint="eastAsia" w:ascii="Arial Narrow" w:hAnsi="Arial Narrow" w:cs="Arial Narrow"/>
          <w:sz w:val="24"/>
          <w:szCs w:val="24"/>
        </w:rPr>
        <w:t>注册资本：1</w:t>
      </w:r>
      <w:r>
        <w:rPr>
          <w:rFonts w:ascii="Arial Narrow" w:hAnsi="Arial Narrow" w:cs="Arial Narrow"/>
          <w:sz w:val="24"/>
          <w:szCs w:val="24"/>
        </w:rPr>
        <w:t>000.00</w:t>
      </w:r>
      <w:r>
        <w:rPr>
          <w:rFonts w:hint="eastAsia" w:ascii="Arial Narrow" w:hAnsi="Arial Narrow" w:cs="Arial Narrow"/>
          <w:sz w:val="24"/>
          <w:szCs w:val="24"/>
        </w:rPr>
        <w:t>万元人民币</w:t>
      </w:r>
    </w:p>
    <w:p w14:paraId="0048420A">
      <w:pPr>
        <w:pStyle w:val="31"/>
        <w:snapToGrid w:val="0"/>
        <w:spacing w:line="360" w:lineRule="auto"/>
        <w:ind w:firstLine="480" w:firstLineChars="200"/>
        <w:rPr>
          <w:rFonts w:ascii="Arial Narrow" w:hAnsi="Arial Narrow" w:cs="Arial Narrow"/>
          <w:sz w:val="24"/>
          <w:szCs w:val="24"/>
        </w:rPr>
      </w:pPr>
      <w:r>
        <w:rPr>
          <w:rFonts w:hint="eastAsia" w:ascii="Arial Narrow" w:hAnsi="Arial Narrow" w:cs="Arial Narrow"/>
          <w:sz w:val="24"/>
          <w:szCs w:val="24"/>
        </w:rPr>
        <w:t>成立时间：</w:t>
      </w:r>
      <w:r>
        <w:rPr>
          <w:rFonts w:ascii="Arial Narrow" w:hAnsi="Arial Narrow" w:cs="Arial Narrow"/>
          <w:sz w:val="24"/>
          <w:szCs w:val="24"/>
        </w:rPr>
        <w:t>1982-10-06</w:t>
      </w:r>
    </w:p>
    <w:p w14:paraId="6F1A2B75">
      <w:pPr>
        <w:pStyle w:val="31"/>
        <w:snapToGrid w:val="0"/>
        <w:spacing w:line="360" w:lineRule="auto"/>
        <w:ind w:firstLine="480" w:firstLineChars="200"/>
        <w:rPr>
          <w:rFonts w:ascii="Arial Narrow" w:hAnsi="Arial Narrow" w:cs="Arial Narrow"/>
          <w:sz w:val="24"/>
          <w:szCs w:val="24"/>
        </w:rPr>
      </w:pPr>
      <w:r>
        <w:rPr>
          <w:rFonts w:hint="eastAsia" w:ascii="Arial Narrow" w:hAnsi="Arial Narrow" w:cs="Arial Narrow"/>
          <w:sz w:val="24"/>
          <w:szCs w:val="24"/>
        </w:rPr>
        <w:t>统一社会信用代码：</w:t>
      </w:r>
      <w:r>
        <w:rPr>
          <w:rFonts w:ascii="Arial Narrow" w:hAnsi="Arial Narrow" w:cs="Arial Narrow"/>
          <w:sz w:val="24"/>
          <w:szCs w:val="24"/>
        </w:rPr>
        <w:t>9134018115358123XA</w:t>
      </w:r>
    </w:p>
    <w:p w14:paraId="5A021FB0">
      <w:pPr>
        <w:pStyle w:val="31"/>
        <w:snapToGrid w:val="0"/>
        <w:spacing w:line="360" w:lineRule="auto"/>
        <w:ind w:firstLine="480" w:firstLineChars="200"/>
        <w:rPr>
          <w:rFonts w:ascii="Arial Narrow" w:hAnsi="Arial Narrow" w:cs="Arial Narrow"/>
          <w:sz w:val="24"/>
          <w:szCs w:val="24"/>
        </w:rPr>
      </w:pPr>
      <w:r>
        <w:rPr>
          <w:rFonts w:hint="eastAsia" w:ascii="Arial Narrow" w:hAnsi="Arial Narrow" w:cs="Arial Narrow"/>
          <w:sz w:val="24"/>
          <w:szCs w:val="24"/>
        </w:rPr>
        <w:t>经营范围：县内班车客运、县际班车客运、市际班车客运、省际班车客运、县内包车客运、县际包车客运、市际包车客运、省际包车客运（上述经营范围凭《道路运输经营许可证》并在其有效期内经营）；普通机动车驾驶员培训、道路运输驾驶员从业资格培训、机动车维修，成品油零售（上述经营范围限分公司经营）；汽车配件及百货销售；职业咨询服务；计算机销售与电脑培训；城市公交客运（限外市分公司凭有效许可证件经营）、城乡公交客运；车辆租赁，国内广告设计、制作、代理、发布；物业服务；房屋土地租赁；国内、入境旅游业务，旅游客运；代办车辆保险；电子信息技术服务；广告位租赁;机动车辆清洗服务；机动车辆充电服务；校车运营；客运站经营。（依法须经批准的项目，经相关部门批准后方可开展经营活动）</w:t>
      </w:r>
    </w:p>
    <w:p w14:paraId="43AB6FBF">
      <w:pPr>
        <w:pStyle w:val="4"/>
        <w:numPr>
          <w:ilvl w:val="0"/>
          <w:numId w:val="6"/>
        </w:numPr>
        <w:spacing w:before="120" w:beforeLines="50" w:line="360" w:lineRule="auto"/>
        <w:rPr>
          <w:rFonts w:hint="eastAsia" w:cs="Arial Narrow" w:asciiTheme="minorEastAsia" w:hAnsiTheme="minorEastAsia" w:eastAsiaTheme="minorEastAsia"/>
          <w:b/>
          <w:sz w:val="24"/>
        </w:rPr>
      </w:pPr>
      <w:r>
        <w:rPr>
          <w:rFonts w:hint="eastAsia" w:cs="Arial Narrow" w:asciiTheme="minorEastAsia" w:hAnsiTheme="minorEastAsia" w:eastAsiaTheme="minorEastAsia"/>
          <w:b/>
          <w:sz w:val="24"/>
        </w:rPr>
        <w:t>被评估单位情况</w:t>
      </w:r>
    </w:p>
    <w:p w14:paraId="22EADA64">
      <w:pPr>
        <w:spacing w:line="360" w:lineRule="auto"/>
        <w:ind w:left="480"/>
        <w:rPr>
          <w:rFonts w:ascii="Arial Narrow" w:hAnsi="Arial Narrow" w:cs="Arial Narrow"/>
          <w:sz w:val="24"/>
          <w:szCs w:val="24"/>
        </w:rPr>
      </w:pPr>
      <w:r>
        <w:rPr>
          <w:rFonts w:hint="eastAsia" w:ascii="Arial Narrow" w:hAnsi="Arial Narrow" w:cs="Arial Narrow"/>
          <w:sz w:val="24"/>
          <w:szCs w:val="24"/>
        </w:rPr>
        <w:t>1、</w:t>
      </w:r>
      <w:r>
        <w:rPr>
          <w:rFonts w:ascii="Arial Narrow" w:hAnsi="Arial Narrow" w:cs="Arial Narrow"/>
          <w:sz w:val="24"/>
          <w:szCs w:val="24"/>
        </w:rPr>
        <w:t>基本情况</w:t>
      </w:r>
    </w:p>
    <w:p w14:paraId="26C8E64D">
      <w:pPr>
        <w:pStyle w:val="31"/>
        <w:snapToGrid w:val="0"/>
        <w:spacing w:line="360" w:lineRule="auto"/>
        <w:ind w:firstLine="480" w:firstLineChars="200"/>
        <w:rPr>
          <w:rFonts w:ascii="Arial Narrow" w:hAnsi="Arial Narrow" w:cs="Arial Narrow"/>
          <w:sz w:val="24"/>
          <w:szCs w:val="24"/>
        </w:rPr>
      </w:pPr>
      <w:r>
        <w:rPr>
          <w:rFonts w:hint="eastAsia" w:ascii="Arial Narrow" w:hAnsi="Arial Narrow" w:cs="Arial Narrow"/>
          <w:sz w:val="24"/>
          <w:szCs w:val="24"/>
        </w:rPr>
        <w:t>公司名称：</w:t>
      </w:r>
      <w:r>
        <w:rPr>
          <w:rFonts w:hint="eastAsia" w:ascii="Arial Narrow" w:hAnsi="Arial Narrow"/>
          <w:sz w:val="24"/>
          <w:szCs w:val="24"/>
        </w:rPr>
        <w:t>和县飞雁城乡客运有限公司</w:t>
      </w:r>
      <w:r>
        <w:rPr>
          <w:rFonts w:hint="eastAsia" w:ascii="Arial Narrow" w:hAnsi="Arial Narrow" w:cs="Arial Narrow"/>
          <w:sz w:val="24"/>
          <w:szCs w:val="24"/>
        </w:rPr>
        <w:t>（以下简称“</w:t>
      </w:r>
      <w:r>
        <w:rPr>
          <w:rFonts w:hint="eastAsia" w:asciiTheme="minorEastAsia" w:hAnsiTheme="minorEastAsia" w:eastAsiaTheme="minorEastAsia"/>
          <w:sz w:val="24"/>
          <w:szCs w:val="24"/>
        </w:rPr>
        <w:t>和县飞雁</w:t>
      </w:r>
      <w:r>
        <w:rPr>
          <w:rFonts w:hint="eastAsia" w:ascii="Arial Narrow" w:hAnsi="Arial Narrow" w:cs="Arial Narrow"/>
          <w:sz w:val="24"/>
          <w:szCs w:val="24"/>
        </w:rPr>
        <w:t>”）</w:t>
      </w:r>
    </w:p>
    <w:p w14:paraId="0437E5C1">
      <w:pPr>
        <w:pStyle w:val="31"/>
        <w:snapToGrid w:val="0"/>
        <w:spacing w:line="360" w:lineRule="auto"/>
        <w:ind w:firstLine="480" w:firstLineChars="200"/>
        <w:rPr>
          <w:rFonts w:ascii="Arial Narrow" w:hAnsi="Arial Narrow" w:cs="Arial Narrow"/>
          <w:sz w:val="24"/>
          <w:szCs w:val="24"/>
        </w:rPr>
      </w:pPr>
      <w:r>
        <w:rPr>
          <w:rFonts w:hint="eastAsia" w:ascii="Arial Narrow" w:hAnsi="Arial Narrow" w:cs="Arial Narrow"/>
          <w:sz w:val="24"/>
          <w:szCs w:val="24"/>
        </w:rPr>
        <w:t>公司类型：其他有限责任公司</w:t>
      </w:r>
    </w:p>
    <w:p w14:paraId="6F75BF0E">
      <w:pPr>
        <w:pStyle w:val="31"/>
        <w:snapToGrid w:val="0"/>
        <w:spacing w:line="360" w:lineRule="auto"/>
        <w:ind w:firstLine="480" w:firstLineChars="200"/>
        <w:rPr>
          <w:rFonts w:ascii="Arial Narrow" w:hAnsi="Arial Narrow" w:cs="Arial Narrow"/>
          <w:sz w:val="24"/>
          <w:szCs w:val="24"/>
        </w:rPr>
      </w:pPr>
      <w:r>
        <w:rPr>
          <w:rFonts w:hint="eastAsia" w:ascii="Arial Narrow" w:hAnsi="Arial Narrow" w:cs="Arial Narrow"/>
          <w:sz w:val="24"/>
          <w:szCs w:val="24"/>
        </w:rPr>
        <w:t>注册地址：安徽省马鞍山市和县历阳镇龙潭北路与巢宁路交叉口</w:t>
      </w:r>
    </w:p>
    <w:p w14:paraId="132F60CB">
      <w:pPr>
        <w:pStyle w:val="31"/>
        <w:snapToGrid w:val="0"/>
        <w:spacing w:line="360" w:lineRule="auto"/>
        <w:ind w:firstLine="480" w:firstLineChars="200"/>
        <w:rPr>
          <w:rFonts w:ascii="Arial Narrow" w:hAnsi="Arial Narrow" w:cs="Arial Narrow"/>
          <w:sz w:val="24"/>
          <w:szCs w:val="24"/>
        </w:rPr>
      </w:pPr>
      <w:r>
        <w:rPr>
          <w:rFonts w:hint="eastAsia" w:ascii="Arial Narrow" w:hAnsi="Arial Narrow" w:cs="Arial Narrow"/>
          <w:sz w:val="24"/>
          <w:szCs w:val="24"/>
        </w:rPr>
        <w:t>法定代表人：孙良杰</w:t>
      </w:r>
    </w:p>
    <w:p w14:paraId="1BA10405">
      <w:pPr>
        <w:pStyle w:val="31"/>
        <w:snapToGrid w:val="0"/>
        <w:spacing w:line="360" w:lineRule="auto"/>
        <w:ind w:firstLine="480" w:firstLineChars="200"/>
        <w:rPr>
          <w:rFonts w:ascii="Arial Narrow" w:hAnsi="Arial Narrow" w:cs="Arial Narrow"/>
          <w:sz w:val="24"/>
          <w:szCs w:val="24"/>
        </w:rPr>
      </w:pPr>
      <w:r>
        <w:rPr>
          <w:rFonts w:hint="eastAsia" w:ascii="Arial Narrow" w:hAnsi="Arial Narrow" w:cs="Arial Narrow"/>
          <w:sz w:val="24"/>
          <w:szCs w:val="24"/>
        </w:rPr>
        <w:t>注册资本：1</w:t>
      </w:r>
      <w:r>
        <w:rPr>
          <w:rFonts w:ascii="Arial Narrow" w:hAnsi="Arial Narrow" w:cs="Arial Narrow"/>
          <w:sz w:val="24"/>
          <w:szCs w:val="24"/>
        </w:rPr>
        <w:t>000.00</w:t>
      </w:r>
      <w:r>
        <w:rPr>
          <w:rFonts w:hint="eastAsia" w:ascii="Arial Narrow" w:hAnsi="Arial Narrow" w:cs="Arial Narrow"/>
          <w:sz w:val="24"/>
          <w:szCs w:val="24"/>
        </w:rPr>
        <w:t>万元人民币</w:t>
      </w:r>
    </w:p>
    <w:p w14:paraId="0B23F71B">
      <w:pPr>
        <w:pStyle w:val="31"/>
        <w:snapToGrid w:val="0"/>
        <w:spacing w:line="360" w:lineRule="auto"/>
        <w:ind w:firstLine="480" w:firstLineChars="200"/>
        <w:rPr>
          <w:rFonts w:ascii="Arial Narrow" w:hAnsi="Arial Narrow" w:cs="Arial Narrow"/>
          <w:sz w:val="24"/>
          <w:szCs w:val="24"/>
        </w:rPr>
      </w:pPr>
      <w:r>
        <w:rPr>
          <w:rFonts w:hint="eastAsia" w:ascii="Arial Narrow" w:hAnsi="Arial Narrow" w:cs="Arial Narrow"/>
          <w:sz w:val="24"/>
          <w:szCs w:val="24"/>
        </w:rPr>
        <w:t>成立时间：</w:t>
      </w:r>
      <w:r>
        <w:rPr>
          <w:rFonts w:ascii="Arial Narrow" w:hAnsi="Arial Narrow" w:cs="Arial Narrow"/>
          <w:sz w:val="24"/>
          <w:szCs w:val="24"/>
        </w:rPr>
        <w:t>2014-04-08</w:t>
      </w:r>
    </w:p>
    <w:p w14:paraId="7DCB7EA0">
      <w:pPr>
        <w:pStyle w:val="31"/>
        <w:snapToGrid w:val="0"/>
        <w:spacing w:line="360" w:lineRule="auto"/>
        <w:ind w:firstLine="480" w:firstLineChars="200"/>
        <w:rPr>
          <w:rFonts w:ascii="Arial Narrow" w:hAnsi="Arial Narrow" w:cs="Arial Narrow"/>
          <w:sz w:val="24"/>
          <w:szCs w:val="24"/>
        </w:rPr>
      </w:pPr>
      <w:r>
        <w:rPr>
          <w:rFonts w:hint="eastAsia" w:ascii="Arial Narrow" w:hAnsi="Arial Narrow" w:cs="Arial Narrow"/>
          <w:sz w:val="24"/>
          <w:szCs w:val="24"/>
        </w:rPr>
        <w:t>统一社会信用代码：</w:t>
      </w:r>
      <w:r>
        <w:rPr>
          <w:rFonts w:ascii="Arial Narrow" w:hAnsi="Arial Narrow" w:cs="Arial Narrow"/>
          <w:sz w:val="24"/>
          <w:szCs w:val="24"/>
        </w:rPr>
        <w:t>91340523098001676K</w:t>
      </w:r>
    </w:p>
    <w:p w14:paraId="02C5CCB2">
      <w:pPr>
        <w:pStyle w:val="31"/>
        <w:snapToGrid w:val="0"/>
        <w:spacing w:line="360" w:lineRule="auto"/>
        <w:ind w:firstLine="480" w:firstLineChars="200"/>
        <w:rPr>
          <w:rFonts w:ascii="Arial Narrow" w:hAnsi="Arial Narrow" w:cs="Arial Narrow"/>
          <w:sz w:val="24"/>
          <w:szCs w:val="24"/>
        </w:rPr>
      </w:pPr>
      <w:r>
        <w:rPr>
          <w:rFonts w:hint="eastAsia" w:ascii="Arial Narrow" w:hAnsi="Arial Narrow" w:cs="Arial Narrow"/>
          <w:sz w:val="24"/>
          <w:szCs w:val="24"/>
        </w:rPr>
        <w:t>经营范围：县际、市际、省际班车客运，县际、市际、省际包车客运，代办车辆保险，城市及近郊公共交通客运。（依法须经批准的项目，经相关部门批准后方可开展经营活动）</w:t>
      </w:r>
    </w:p>
    <w:p w14:paraId="1E8698A7">
      <w:pPr>
        <w:pStyle w:val="31"/>
        <w:snapToGrid w:val="0"/>
        <w:spacing w:line="360" w:lineRule="auto"/>
        <w:ind w:firstLine="480" w:firstLineChars="200"/>
        <w:rPr>
          <w:rFonts w:ascii="Arial Narrow" w:hAnsi="Arial Narrow" w:cs="Arial Narrow"/>
          <w:sz w:val="24"/>
          <w:szCs w:val="24"/>
        </w:rPr>
      </w:pPr>
      <w:r>
        <w:rPr>
          <w:rFonts w:hint="eastAsia" w:ascii="Arial Narrow" w:hAnsi="Arial Narrow" w:cs="Arial Narrow"/>
          <w:sz w:val="24"/>
          <w:szCs w:val="24"/>
        </w:rPr>
        <w:t>2、公司简介</w:t>
      </w:r>
    </w:p>
    <w:p w14:paraId="7732AEEA">
      <w:pPr>
        <w:pStyle w:val="31"/>
        <w:snapToGrid w:val="0"/>
        <w:spacing w:line="360" w:lineRule="auto"/>
        <w:ind w:firstLine="480" w:firstLineChars="200"/>
        <w:rPr>
          <w:rFonts w:ascii="Arial Narrow" w:hAnsi="Arial Narrow" w:cs="Arial Narrow"/>
          <w:sz w:val="24"/>
          <w:szCs w:val="24"/>
        </w:rPr>
      </w:pPr>
      <w:r>
        <w:rPr>
          <w:rFonts w:hint="eastAsia" w:asciiTheme="minorEastAsia" w:hAnsiTheme="minorEastAsia" w:eastAsiaTheme="minorEastAsia"/>
          <w:sz w:val="24"/>
          <w:szCs w:val="24"/>
        </w:rPr>
        <w:t>和县飞雁成立于2014年4月，公司由安徽交运集团巢湖汽运有限公司出资额（51%）与安徽省华乐公共交通有限公司出资额（49%）共同设立，注册资金1000万；下辖1个公交分公司；公司主营省际、市际班车客运及城市公交业务。现有客运班线1条；公交线路5条。班线客运车辆6台；新能源公交车辆49台。截止2024年12月底，飞雁及公交分公司在编人员57人，驾驶员32人</w:t>
      </w:r>
      <w:r>
        <w:rPr>
          <w:rFonts w:hint="eastAsia" w:ascii="Arial Narrow" w:hAnsi="Arial Narrow" w:cs="Arial Narrow"/>
          <w:sz w:val="24"/>
          <w:szCs w:val="24"/>
        </w:rPr>
        <w:t>。</w:t>
      </w:r>
    </w:p>
    <w:bookmarkEnd w:id="14"/>
    <w:p w14:paraId="6E6D336D">
      <w:pPr>
        <w:tabs>
          <w:tab w:val="left" w:pos="900"/>
          <w:tab w:val="left" w:pos="1156"/>
        </w:tabs>
        <w:spacing w:line="360" w:lineRule="auto"/>
        <w:ind w:left="480"/>
        <w:rPr>
          <w:rFonts w:ascii="Arial Narrow" w:hAnsi="Arial Narrow" w:cs="Arial Narrow"/>
          <w:sz w:val="24"/>
          <w:szCs w:val="24"/>
        </w:rPr>
      </w:pPr>
      <w:r>
        <w:rPr>
          <w:rFonts w:ascii="Arial Narrow" w:hAnsi="Arial Narrow" w:cs="Arial Narrow"/>
          <w:sz w:val="24"/>
          <w:szCs w:val="24"/>
        </w:rPr>
        <w:t>3</w:t>
      </w:r>
      <w:r>
        <w:rPr>
          <w:rFonts w:hint="eastAsia" w:ascii="Arial Narrow" w:hAnsi="Arial Narrow" w:cs="Arial Narrow"/>
          <w:sz w:val="24"/>
          <w:szCs w:val="24"/>
        </w:rPr>
        <w:t>、历史沿革</w:t>
      </w:r>
    </w:p>
    <w:p w14:paraId="2DE40116">
      <w:pPr>
        <w:tabs>
          <w:tab w:val="left" w:pos="2077"/>
          <w:tab w:val="left" w:pos="8196"/>
        </w:tabs>
        <w:adjustRightInd w:val="0"/>
        <w:spacing w:before="120" w:line="360" w:lineRule="auto"/>
        <w:ind w:firstLine="480" w:firstLineChars="200"/>
        <w:rPr>
          <w:sz w:val="24"/>
        </w:rPr>
      </w:pPr>
      <w:r>
        <w:rPr>
          <w:rFonts w:hint="eastAsia"/>
          <w:sz w:val="24"/>
        </w:rPr>
        <w:t>2014年4月，</w:t>
      </w:r>
      <w:r>
        <w:rPr>
          <w:rFonts w:hint="eastAsia" w:asciiTheme="minorEastAsia" w:hAnsiTheme="minorEastAsia" w:eastAsiaTheme="minorEastAsia"/>
          <w:sz w:val="24"/>
          <w:szCs w:val="24"/>
        </w:rPr>
        <w:t>和县飞雁</w:t>
      </w:r>
      <w:r>
        <w:rPr>
          <w:rFonts w:hint="eastAsia"/>
          <w:sz w:val="24"/>
        </w:rPr>
        <w:t>由安徽交运集团巢湖汽运有限公司和安徽省华乐公共交通有限公司共同出资设立，截止评估基准日，和县飞雁的股权结构如下：</w:t>
      </w:r>
    </w:p>
    <w:tbl>
      <w:tblPr>
        <w:tblStyle w:val="59"/>
        <w:tblW w:w="5000" w:type="pct"/>
        <w:tblInd w:w="0" w:type="dxa"/>
        <w:tblBorders>
          <w:top w:val="single" w:color="auto" w:sz="8" w:space="0"/>
          <w:left w:val="none" w:color="auto" w:sz="0" w:space="0"/>
          <w:bottom w:val="single" w:color="auto" w:sz="8" w:space="0"/>
          <w:right w:val="none" w:color="auto" w:sz="0" w:space="0"/>
          <w:insideH w:val="single" w:color="auto" w:sz="2" w:space="0"/>
          <w:insideV w:val="single" w:color="auto" w:sz="2" w:space="0"/>
        </w:tblBorders>
        <w:tblLayout w:type="autofit"/>
        <w:tblCellMar>
          <w:top w:w="0" w:type="dxa"/>
          <w:left w:w="108" w:type="dxa"/>
          <w:bottom w:w="0" w:type="dxa"/>
          <w:right w:w="108" w:type="dxa"/>
        </w:tblCellMar>
      </w:tblPr>
      <w:tblGrid>
        <w:gridCol w:w="2801"/>
        <w:gridCol w:w="2087"/>
        <w:gridCol w:w="2256"/>
        <w:gridCol w:w="2257"/>
      </w:tblGrid>
      <w:tr w14:paraId="44D51570">
        <w:tblPrEx>
          <w:tblBorders>
            <w:top w:val="single" w:color="auto" w:sz="8" w:space="0"/>
            <w:left w:val="none" w:color="auto" w:sz="0" w:space="0"/>
            <w:bottom w:val="single" w:color="auto" w:sz="8" w:space="0"/>
            <w:right w:val="none" w:color="auto" w:sz="0" w:space="0"/>
            <w:insideH w:val="single" w:color="auto" w:sz="2" w:space="0"/>
            <w:insideV w:val="single" w:color="auto" w:sz="2" w:space="0"/>
          </w:tblBorders>
        </w:tblPrEx>
        <w:trPr>
          <w:trHeight w:val="397" w:hRule="atLeast"/>
        </w:trPr>
        <w:tc>
          <w:tcPr>
            <w:tcW w:w="1490" w:type="pct"/>
            <w:tcBorders>
              <w:top w:val="single" w:color="auto" w:sz="8" w:space="0"/>
              <w:left w:val="nil"/>
              <w:bottom w:val="single" w:color="auto" w:sz="2" w:space="0"/>
              <w:right w:val="single" w:color="auto" w:sz="2" w:space="0"/>
            </w:tcBorders>
            <w:vAlign w:val="center"/>
          </w:tcPr>
          <w:p w14:paraId="1F0A63F7">
            <w:pPr>
              <w:tabs>
                <w:tab w:val="left" w:pos="2077"/>
                <w:tab w:val="left" w:pos="8196"/>
              </w:tabs>
              <w:jc w:val="center"/>
              <w:rPr>
                <w:bCs/>
                <w:color w:val="000000"/>
                <w:sz w:val="21"/>
                <w:szCs w:val="21"/>
              </w:rPr>
            </w:pPr>
            <w:r>
              <w:rPr>
                <w:rFonts w:hint="eastAsia"/>
                <w:bCs/>
                <w:color w:val="000000"/>
                <w:sz w:val="21"/>
                <w:szCs w:val="21"/>
              </w:rPr>
              <w:t>股东姓名</w:t>
            </w:r>
          </w:p>
        </w:tc>
        <w:tc>
          <w:tcPr>
            <w:tcW w:w="1110" w:type="pct"/>
            <w:tcBorders>
              <w:top w:val="single" w:color="auto" w:sz="8" w:space="0"/>
              <w:left w:val="single" w:color="auto" w:sz="2" w:space="0"/>
              <w:bottom w:val="single" w:color="auto" w:sz="2" w:space="0"/>
              <w:right w:val="single" w:color="auto" w:sz="2" w:space="0"/>
            </w:tcBorders>
            <w:vAlign w:val="center"/>
          </w:tcPr>
          <w:p w14:paraId="6CA9AC55">
            <w:pPr>
              <w:tabs>
                <w:tab w:val="left" w:pos="2077"/>
                <w:tab w:val="left" w:pos="8196"/>
              </w:tabs>
              <w:jc w:val="center"/>
              <w:rPr>
                <w:bCs/>
                <w:color w:val="000000"/>
                <w:sz w:val="21"/>
                <w:szCs w:val="21"/>
              </w:rPr>
            </w:pPr>
            <w:r>
              <w:rPr>
                <w:rFonts w:hint="eastAsia"/>
                <w:bCs/>
                <w:color w:val="000000"/>
                <w:sz w:val="21"/>
                <w:szCs w:val="21"/>
              </w:rPr>
              <w:t>认缴出资额（万元）</w:t>
            </w:r>
          </w:p>
        </w:tc>
        <w:tc>
          <w:tcPr>
            <w:tcW w:w="1200" w:type="pct"/>
            <w:tcBorders>
              <w:top w:val="single" w:color="auto" w:sz="8" w:space="0"/>
              <w:left w:val="single" w:color="auto" w:sz="2" w:space="0"/>
              <w:bottom w:val="single" w:color="auto" w:sz="2" w:space="0"/>
              <w:right w:val="nil"/>
            </w:tcBorders>
            <w:vAlign w:val="center"/>
          </w:tcPr>
          <w:p w14:paraId="44451C29">
            <w:pPr>
              <w:tabs>
                <w:tab w:val="left" w:pos="2077"/>
                <w:tab w:val="left" w:pos="8196"/>
              </w:tabs>
              <w:jc w:val="center"/>
              <w:rPr>
                <w:bCs/>
                <w:color w:val="000000"/>
                <w:sz w:val="21"/>
                <w:szCs w:val="21"/>
              </w:rPr>
            </w:pPr>
            <w:r>
              <w:rPr>
                <w:rFonts w:hint="eastAsia"/>
                <w:bCs/>
                <w:color w:val="000000"/>
                <w:sz w:val="21"/>
                <w:szCs w:val="21"/>
              </w:rPr>
              <w:t>实缴出资额（万元）</w:t>
            </w:r>
          </w:p>
        </w:tc>
        <w:tc>
          <w:tcPr>
            <w:tcW w:w="1200" w:type="pct"/>
            <w:tcBorders>
              <w:top w:val="single" w:color="auto" w:sz="8" w:space="0"/>
              <w:left w:val="single" w:color="auto" w:sz="2" w:space="0"/>
              <w:bottom w:val="single" w:color="auto" w:sz="2" w:space="0"/>
              <w:right w:val="nil"/>
            </w:tcBorders>
            <w:vAlign w:val="center"/>
          </w:tcPr>
          <w:p w14:paraId="2A561E4C">
            <w:pPr>
              <w:tabs>
                <w:tab w:val="left" w:pos="2077"/>
                <w:tab w:val="left" w:pos="8196"/>
              </w:tabs>
              <w:jc w:val="center"/>
              <w:rPr>
                <w:bCs/>
                <w:color w:val="000000"/>
                <w:sz w:val="21"/>
                <w:szCs w:val="21"/>
              </w:rPr>
            </w:pPr>
            <w:r>
              <w:rPr>
                <w:rFonts w:hint="eastAsia"/>
                <w:sz w:val="21"/>
                <w:szCs w:val="21"/>
              </w:rPr>
              <w:t>认缴出资比例（</w:t>
            </w:r>
            <w:r>
              <w:rPr>
                <w:sz w:val="21"/>
                <w:szCs w:val="21"/>
              </w:rPr>
              <w:t>%</w:t>
            </w:r>
            <w:r>
              <w:rPr>
                <w:rFonts w:hint="eastAsia"/>
                <w:sz w:val="21"/>
                <w:szCs w:val="21"/>
              </w:rPr>
              <w:t>）</w:t>
            </w:r>
          </w:p>
        </w:tc>
      </w:tr>
      <w:tr w14:paraId="052D5AF8">
        <w:tblPrEx>
          <w:tblBorders>
            <w:top w:val="single" w:color="auto" w:sz="8" w:space="0"/>
            <w:left w:val="none" w:color="auto" w:sz="0" w:space="0"/>
            <w:bottom w:val="single" w:color="auto" w:sz="8" w:space="0"/>
            <w:right w:val="none" w:color="auto" w:sz="0" w:space="0"/>
            <w:insideH w:val="single" w:color="auto" w:sz="2" w:space="0"/>
            <w:insideV w:val="single" w:color="auto" w:sz="2" w:space="0"/>
          </w:tblBorders>
          <w:tblCellMar>
            <w:top w:w="0" w:type="dxa"/>
            <w:left w:w="108" w:type="dxa"/>
            <w:bottom w:w="0" w:type="dxa"/>
            <w:right w:w="108" w:type="dxa"/>
          </w:tblCellMar>
        </w:tblPrEx>
        <w:trPr>
          <w:trHeight w:val="397" w:hRule="atLeast"/>
        </w:trPr>
        <w:tc>
          <w:tcPr>
            <w:tcW w:w="1490" w:type="pct"/>
            <w:tcBorders>
              <w:top w:val="single" w:color="auto" w:sz="2" w:space="0"/>
              <w:left w:val="nil"/>
              <w:bottom w:val="single" w:color="auto" w:sz="2" w:space="0"/>
              <w:right w:val="single" w:color="auto" w:sz="2" w:space="0"/>
            </w:tcBorders>
            <w:vAlign w:val="center"/>
          </w:tcPr>
          <w:p w14:paraId="3DA43CA2">
            <w:pPr>
              <w:widowControl/>
              <w:textAlignment w:val="center"/>
              <w:rPr>
                <w:bCs/>
                <w:color w:val="000000"/>
                <w:sz w:val="24"/>
                <w:szCs w:val="24"/>
              </w:rPr>
            </w:pPr>
            <w:r>
              <w:rPr>
                <w:rFonts w:hint="eastAsia"/>
                <w:sz w:val="24"/>
                <w:szCs w:val="24"/>
              </w:rPr>
              <w:t>安徽交运集团巢湖汽运有限公司</w:t>
            </w:r>
          </w:p>
        </w:tc>
        <w:tc>
          <w:tcPr>
            <w:tcW w:w="1110" w:type="pct"/>
            <w:tcBorders>
              <w:top w:val="single" w:color="auto" w:sz="2" w:space="0"/>
              <w:left w:val="single" w:color="auto" w:sz="2" w:space="0"/>
              <w:bottom w:val="single" w:color="auto" w:sz="2" w:space="0"/>
              <w:right w:val="single" w:color="auto" w:sz="2" w:space="0"/>
            </w:tcBorders>
            <w:vAlign w:val="center"/>
          </w:tcPr>
          <w:p w14:paraId="60B6EF9C">
            <w:pPr>
              <w:widowControl/>
              <w:jc w:val="right"/>
              <w:textAlignment w:val="center"/>
              <w:rPr>
                <w:bCs/>
                <w:color w:val="000000"/>
                <w:sz w:val="21"/>
                <w:szCs w:val="21"/>
              </w:rPr>
            </w:pPr>
            <w:r>
              <w:rPr>
                <w:rFonts w:hint="eastAsia"/>
                <w:bCs/>
                <w:color w:val="000000"/>
                <w:sz w:val="21"/>
                <w:szCs w:val="21"/>
              </w:rPr>
              <w:t>510.00</w:t>
            </w:r>
          </w:p>
        </w:tc>
        <w:tc>
          <w:tcPr>
            <w:tcW w:w="1200" w:type="pct"/>
            <w:tcBorders>
              <w:top w:val="single" w:color="auto" w:sz="2" w:space="0"/>
              <w:left w:val="single" w:color="auto" w:sz="2" w:space="0"/>
              <w:bottom w:val="single" w:color="auto" w:sz="2" w:space="0"/>
              <w:right w:val="nil"/>
            </w:tcBorders>
            <w:vAlign w:val="center"/>
          </w:tcPr>
          <w:p w14:paraId="65132EED">
            <w:pPr>
              <w:widowControl/>
              <w:jc w:val="right"/>
              <w:textAlignment w:val="center"/>
              <w:rPr>
                <w:bCs/>
                <w:color w:val="000000"/>
                <w:sz w:val="21"/>
                <w:szCs w:val="21"/>
              </w:rPr>
            </w:pPr>
            <w:r>
              <w:rPr>
                <w:rFonts w:hint="eastAsia"/>
                <w:bCs/>
                <w:color w:val="000000"/>
                <w:sz w:val="21"/>
                <w:szCs w:val="21"/>
              </w:rPr>
              <w:t>510.00</w:t>
            </w:r>
          </w:p>
        </w:tc>
        <w:tc>
          <w:tcPr>
            <w:tcW w:w="1200" w:type="pct"/>
            <w:tcBorders>
              <w:top w:val="single" w:color="auto" w:sz="2" w:space="0"/>
              <w:left w:val="single" w:color="auto" w:sz="2" w:space="0"/>
              <w:bottom w:val="single" w:color="auto" w:sz="2" w:space="0"/>
              <w:right w:val="nil"/>
            </w:tcBorders>
            <w:vAlign w:val="center"/>
          </w:tcPr>
          <w:p w14:paraId="2BFC3295">
            <w:pPr>
              <w:widowControl/>
              <w:jc w:val="right"/>
              <w:textAlignment w:val="center"/>
              <w:rPr>
                <w:bCs/>
                <w:color w:val="000000"/>
                <w:sz w:val="21"/>
                <w:szCs w:val="21"/>
              </w:rPr>
            </w:pPr>
            <w:r>
              <w:rPr>
                <w:rFonts w:hint="eastAsia"/>
                <w:bCs/>
                <w:color w:val="000000"/>
                <w:sz w:val="21"/>
                <w:szCs w:val="21"/>
              </w:rPr>
              <w:t>51.00%</w:t>
            </w:r>
          </w:p>
        </w:tc>
      </w:tr>
      <w:tr w14:paraId="077AF9DD">
        <w:tblPrEx>
          <w:tblBorders>
            <w:top w:val="single" w:color="auto" w:sz="8" w:space="0"/>
            <w:left w:val="none" w:color="auto" w:sz="0" w:space="0"/>
            <w:bottom w:val="single" w:color="auto" w:sz="8" w:space="0"/>
            <w:right w:val="none" w:color="auto" w:sz="0" w:space="0"/>
            <w:insideH w:val="single" w:color="auto" w:sz="2" w:space="0"/>
            <w:insideV w:val="single" w:color="auto" w:sz="2" w:space="0"/>
          </w:tblBorders>
          <w:tblCellMar>
            <w:top w:w="0" w:type="dxa"/>
            <w:left w:w="108" w:type="dxa"/>
            <w:bottom w:w="0" w:type="dxa"/>
            <w:right w:w="108" w:type="dxa"/>
          </w:tblCellMar>
        </w:tblPrEx>
        <w:trPr>
          <w:trHeight w:val="397" w:hRule="atLeast"/>
        </w:trPr>
        <w:tc>
          <w:tcPr>
            <w:tcW w:w="1490" w:type="pct"/>
            <w:tcBorders>
              <w:top w:val="single" w:color="auto" w:sz="2" w:space="0"/>
              <w:left w:val="nil"/>
              <w:bottom w:val="single" w:color="auto" w:sz="2" w:space="0"/>
              <w:right w:val="single" w:color="auto" w:sz="2" w:space="0"/>
            </w:tcBorders>
            <w:vAlign w:val="center"/>
          </w:tcPr>
          <w:p w14:paraId="38079198">
            <w:pPr>
              <w:widowControl/>
              <w:textAlignment w:val="center"/>
              <w:rPr>
                <w:bCs/>
                <w:color w:val="000000"/>
                <w:sz w:val="24"/>
                <w:szCs w:val="24"/>
              </w:rPr>
            </w:pPr>
            <w:r>
              <w:rPr>
                <w:rFonts w:hint="eastAsia"/>
                <w:sz w:val="24"/>
                <w:szCs w:val="24"/>
              </w:rPr>
              <w:t>安徽省华乐公共交通有限公司</w:t>
            </w:r>
          </w:p>
        </w:tc>
        <w:tc>
          <w:tcPr>
            <w:tcW w:w="1110" w:type="pct"/>
            <w:tcBorders>
              <w:top w:val="single" w:color="auto" w:sz="2" w:space="0"/>
              <w:left w:val="single" w:color="auto" w:sz="2" w:space="0"/>
              <w:bottom w:val="single" w:color="auto" w:sz="2" w:space="0"/>
              <w:right w:val="single" w:color="auto" w:sz="2" w:space="0"/>
            </w:tcBorders>
            <w:vAlign w:val="center"/>
          </w:tcPr>
          <w:p w14:paraId="15694239">
            <w:pPr>
              <w:widowControl/>
              <w:jc w:val="right"/>
              <w:textAlignment w:val="center"/>
              <w:rPr>
                <w:bCs/>
                <w:color w:val="000000"/>
                <w:sz w:val="21"/>
                <w:szCs w:val="21"/>
              </w:rPr>
            </w:pPr>
            <w:r>
              <w:rPr>
                <w:rFonts w:hint="eastAsia"/>
                <w:bCs/>
                <w:color w:val="000000"/>
                <w:sz w:val="21"/>
                <w:szCs w:val="21"/>
              </w:rPr>
              <w:t>490.00</w:t>
            </w:r>
          </w:p>
        </w:tc>
        <w:tc>
          <w:tcPr>
            <w:tcW w:w="1200" w:type="pct"/>
            <w:tcBorders>
              <w:top w:val="single" w:color="auto" w:sz="2" w:space="0"/>
              <w:left w:val="single" w:color="auto" w:sz="2" w:space="0"/>
              <w:bottom w:val="single" w:color="auto" w:sz="2" w:space="0"/>
              <w:right w:val="nil"/>
            </w:tcBorders>
            <w:vAlign w:val="center"/>
          </w:tcPr>
          <w:p w14:paraId="021E3B8F">
            <w:pPr>
              <w:widowControl/>
              <w:jc w:val="right"/>
              <w:textAlignment w:val="center"/>
              <w:rPr>
                <w:bCs/>
                <w:color w:val="000000"/>
                <w:sz w:val="21"/>
                <w:szCs w:val="21"/>
              </w:rPr>
            </w:pPr>
            <w:r>
              <w:rPr>
                <w:rFonts w:hint="eastAsia"/>
                <w:bCs/>
                <w:color w:val="000000"/>
                <w:sz w:val="21"/>
                <w:szCs w:val="21"/>
              </w:rPr>
              <w:t>490.00</w:t>
            </w:r>
          </w:p>
        </w:tc>
        <w:tc>
          <w:tcPr>
            <w:tcW w:w="1200" w:type="pct"/>
            <w:tcBorders>
              <w:top w:val="single" w:color="auto" w:sz="2" w:space="0"/>
              <w:left w:val="single" w:color="auto" w:sz="2" w:space="0"/>
              <w:bottom w:val="single" w:color="auto" w:sz="2" w:space="0"/>
              <w:right w:val="nil"/>
            </w:tcBorders>
            <w:vAlign w:val="center"/>
          </w:tcPr>
          <w:p w14:paraId="5CDF8EED">
            <w:pPr>
              <w:widowControl/>
              <w:jc w:val="right"/>
              <w:textAlignment w:val="center"/>
              <w:rPr>
                <w:bCs/>
                <w:color w:val="000000"/>
                <w:sz w:val="21"/>
                <w:szCs w:val="21"/>
              </w:rPr>
            </w:pPr>
            <w:r>
              <w:rPr>
                <w:rFonts w:hint="eastAsia"/>
                <w:bCs/>
                <w:color w:val="000000"/>
                <w:sz w:val="21"/>
                <w:szCs w:val="21"/>
              </w:rPr>
              <w:t>49.00%</w:t>
            </w:r>
          </w:p>
        </w:tc>
      </w:tr>
      <w:tr w14:paraId="55E20C9D">
        <w:tblPrEx>
          <w:tblBorders>
            <w:top w:val="single" w:color="auto" w:sz="8" w:space="0"/>
            <w:left w:val="none" w:color="auto" w:sz="0" w:space="0"/>
            <w:bottom w:val="single" w:color="auto" w:sz="8" w:space="0"/>
            <w:right w:val="none" w:color="auto" w:sz="0" w:space="0"/>
            <w:insideH w:val="single" w:color="auto" w:sz="2" w:space="0"/>
            <w:insideV w:val="single" w:color="auto" w:sz="2" w:space="0"/>
          </w:tblBorders>
          <w:tblCellMar>
            <w:top w:w="0" w:type="dxa"/>
            <w:left w:w="108" w:type="dxa"/>
            <w:bottom w:w="0" w:type="dxa"/>
            <w:right w:w="108" w:type="dxa"/>
          </w:tblCellMar>
        </w:tblPrEx>
        <w:trPr>
          <w:trHeight w:val="397" w:hRule="atLeast"/>
        </w:trPr>
        <w:tc>
          <w:tcPr>
            <w:tcW w:w="1490" w:type="pct"/>
            <w:tcBorders>
              <w:top w:val="single" w:color="auto" w:sz="2" w:space="0"/>
              <w:left w:val="nil"/>
              <w:bottom w:val="single" w:color="auto" w:sz="8" w:space="0"/>
              <w:right w:val="single" w:color="auto" w:sz="2" w:space="0"/>
            </w:tcBorders>
            <w:vAlign w:val="center"/>
          </w:tcPr>
          <w:p w14:paraId="229852EA">
            <w:pPr>
              <w:widowControl/>
              <w:jc w:val="center"/>
              <w:textAlignment w:val="center"/>
              <w:rPr>
                <w:bCs/>
                <w:color w:val="000000"/>
                <w:sz w:val="21"/>
                <w:szCs w:val="21"/>
              </w:rPr>
            </w:pPr>
            <w:r>
              <w:rPr>
                <w:rFonts w:hint="eastAsia"/>
                <w:color w:val="000000"/>
                <w:sz w:val="21"/>
                <w:szCs w:val="21"/>
                <w:lang w:bidi="ar"/>
              </w:rPr>
              <w:t>合计</w:t>
            </w:r>
          </w:p>
        </w:tc>
        <w:tc>
          <w:tcPr>
            <w:tcW w:w="1110" w:type="pct"/>
            <w:tcBorders>
              <w:top w:val="single" w:color="auto" w:sz="2" w:space="0"/>
              <w:left w:val="single" w:color="auto" w:sz="2" w:space="0"/>
              <w:bottom w:val="single" w:color="auto" w:sz="8" w:space="0"/>
              <w:right w:val="single" w:color="auto" w:sz="2" w:space="0"/>
            </w:tcBorders>
            <w:vAlign w:val="center"/>
          </w:tcPr>
          <w:p w14:paraId="48B1A94F">
            <w:pPr>
              <w:widowControl/>
              <w:jc w:val="right"/>
              <w:textAlignment w:val="center"/>
              <w:rPr>
                <w:bCs/>
                <w:color w:val="000000"/>
                <w:sz w:val="21"/>
                <w:szCs w:val="21"/>
              </w:rPr>
            </w:pPr>
            <w:r>
              <w:rPr>
                <w:rFonts w:hint="eastAsia"/>
                <w:bCs/>
                <w:color w:val="000000"/>
                <w:sz w:val="21"/>
                <w:szCs w:val="21"/>
              </w:rPr>
              <w:t>100</w:t>
            </w:r>
            <w:r>
              <w:rPr>
                <w:bCs/>
                <w:color w:val="000000"/>
                <w:sz w:val="21"/>
                <w:szCs w:val="21"/>
              </w:rPr>
              <w:t>0.00</w:t>
            </w:r>
          </w:p>
        </w:tc>
        <w:tc>
          <w:tcPr>
            <w:tcW w:w="1200" w:type="pct"/>
            <w:tcBorders>
              <w:top w:val="single" w:color="auto" w:sz="2" w:space="0"/>
              <w:left w:val="single" w:color="auto" w:sz="2" w:space="0"/>
              <w:bottom w:val="single" w:color="auto" w:sz="8" w:space="0"/>
              <w:right w:val="nil"/>
            </w:tcBorders>
            <w:vAlign w:val="center"/>
          </w:tcPr>
          <w:p w14:paraId="62B90E6B">
            <w:pPr>
              <w:widowControl/>
              <w:jc w:val="right"/>
              <w:textAlignment w:val="center"/>
              <w:rPr>
                <w:bCs/>
                <w:color w:val="000000"/>
                <w:sz w:val="21"/>
                <w:szCs w:val="21"/>
              </w:rPr>
            </w:pPr>
            <w:r>
              <w:rPr>
                <w:rFonts w:hint="eastAsia"/>
                <w:bCs/>
                <w:color w:val="000000"/>
                <w:sz w:val="21"/>
                <w:szCs w:val="21"/>
              </w:rPr>
              <w:t>100</w:t>
            </w:r>
            <w:r>
              <w:rPr>
                <w:bCs/>
                <w:color w:val="000000"/>
                <w:sz w:val="21"/>
                <w:szCs w:val="21"/>
              </w:rPr>
              <w:t>0.00</w:t>
            </w:r>
          </w:p>
        </w:tc>
        <w:tc>
          <w:tcPr>
            <w:tcW w:w="1200" w:type="pct"/>
            <w:tcBorders>
              <w:top w:val="single" w:color="auto" w:sz="2" w:space="0"/>
              <w:left w:val="single" w:color="auto" w:sz="2" w:space="0"/>
              <w:bottom w:val="single" w:color="auto" w:sz="8" w:space="0"/>
              <w:right w:val="nil"/>
            </w:tcBorders>
            <w:vAlign w:val="center"/>
          </w:tcPr>
          <w:p w14:paraId="706B0D17">
            <w:pPr>
              <w:widowControl/>
              <w:jc w:val="right"/>
              <w:textAlignment w:val="center"/>
              <w:rPr>
                <w:bCs/>
                <w:color w:val="000000"/>
                <w:sz w:val="21"/>
                <w:szCs w:val="21"/>
              </w:rPr>
            </w:pPr>
            <w:r>
              <w:rPr>
                <w:sz w:val="21"/>
                <w:szCs w:val="21"/>
              </w:rPr>
              <w:t>100.00</w:t>
            </w:r>
          </w:p>
        </w:tc>
      </w:tr>
    </w:tbl>
    <w:p w14:paraId="6B6DFEC6">
      <w:pPr>
        <w:pStyle w:val="4"/>
        <w:numPr>
          <w:ilvl w:val="0"/>
          <w:numId w:val="7"/>
        </w:numPr>
        <w:tabs>
          <w:tab w:val="left" w:pos="284"/>
        </w:tabs>
        <w:adjustRightInd w:val="0"/>
        <w:spacing w:before="60" w:after="60" w:line="360" w:lineRule="auto"/>
        <w:textAlignment w:val="baseline"/>
        <w:rPr>
          <w:rFonts w:ascii="Arial Narrow" w:hAnsi="Arial Narrow"/>
          <w:sz w:val="24"/>
          <w:szCs w:val="24"/>
        </w:rPr>
      </w:pPr>
      <w:r>
        <w:rPr>
          <w:rFonts w:ascii="Arial Narrow" w:hAnsi="Arial Narrow"/>
          <w:sz w:val="24"/>
          <w:szCs w:val="24"/>
        </w:rPr>
        <w:t>财务状况和经营成果</w:t>
      </w:r>
    </w:p>
    <w:p w14:paraId="75D3D462">
      <w:pPr>
        <w:pStyle w:val="4"/>
        <w:tabs>
          <w:tab w:val="left" w:pos="284"/>
        </w:tabs>
        <w:spacing w:line="360" w:lineRule="auto"/>
        <w:ind w:left="480" w:firstLine="0"/>
        <w:rPr>
          <w:rFonts w:ascii="Arial Narrow" w:hAnsi="Arial Narrow"/>
          <w:sz w:val="24"/>
          <w:szCs w:val="24"/>
        </w:rPr>
      </w:pPr>
      <w:r>
        <w:rPr>
          <w:rFonts w:hint="eastAsia" w:ascii="Arial Narrow" w:hAnsi="Arial Narrow"/>
          <w:sz w:val="24"/>
          <w:szCs w:val="24"/>
        </w:rPr>
        <w:t>评估基准日前三年的财务状况和经营成果如下：</w:t>
      </w:r>
    </w:p>
    <w:p w14:paraId="5A87B2E7">
      <w:pPr>
        <w:pStyle w:val="4"/>
        <w:ind w:firstLine="0"/>
        <w:jc w:val="center"/>
        <w:rPr>
          <w:rFonts w:ascii="Arial Narrow" w:hAnsi="Arial Narrow"/>
        </w:rPr>
      </w:pPr>
      <w:r>
        <w:rPr>
          <w:rFonts w:ascii="Arial Narrow" w:hAnsi="Arial Narrow"/>
        </w:rPr>
        <w:t>财务状况表</w:t>
      </w:r>
    </w:p>
    <w:p w14:paraId="22E73923">
      <w:pPr>
        <w:pStyle w:val="4"/>
        <w:ind w:firstLineChars="200"/>
        <w:jc w:val="right"/>
        <w:rPr>
          <w:rFonts w:ascii="Arial Narrow" w:hAnsi="Arial Narrow"/>
          <w:szCs w:val="21"/>
        </w:rPr>
      </w:pPr>
      <w:r>
        <w:rPr>
          <w:rFonts w:ascii="Arial Narrow" w:hAnsi="Arial Narrow"/>
          <w:szCs w:val="21"/>
        </w:rPr>
        <w:t>金额单位：万元</w:t>
      </w:r>
    </w:p>
    <w:tbl>
      <w:tblPr>
        <w:tblStyle w:val="59"/>
        <w:tblW w:w="0" w:type="auto"/>
        <w:jc w:val="center"/>
        <w:tblBorders>
          <w:top w:val="double" w:color="auto" w:sz="4" w:space="0"/>
          <w:left w:val="none" w:color="auto" w:sz="0" w:space="0"/>
          <w:bottom w:val="double" w:color="auto" w:sz="4" w:space="0"/>
          <w:right w:val="none" w:color="auto" w:sz="0" w:space="0"/>
          <w:insideH w:val="single" w:color="auto" w:sz="4" w:space="0"/>
          <w:insideV w:val="single" w:color="auto" w:sz="4" w:space="0"/>
        </w:tblBorders>
        <w:tblLayout w:type="autofit"/>
        <w:tblCellMar>
          <w:top w:w="0" w:type="dxa"/>
          <w:left w:w="108" w:type="dxa"/>
          <w:bottom w:w="0" w:type="dxa"/>
          <w:right w:w="108" w:type="dxa"/>
        </w:tblCellMar>
      </w:tblPr>
      <w:tblGrid>
        <w:gridCol w:w="2459"/>
        <w:gridCol w:w="2087"/>
        <w:gridCol w:w="2087"/>
        <w:gridCol w:w="2087"/>
      </w:tblGrid>
      <w:tr w14:paraId="5A9E386A">
        <w:tblPrEx>
          <w:tblBorders>
            <w:top w:val="double" w:color="auto" w:sz="4" w:space="0"/>
            <w:left w:val="none" w:color="auto" w:sz="0" w:space="0"/>
            <w:bottom w:val="doub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284" w:hRule="atLeast"/>
          <w:tblHeader/>
          <w:jc w:val="center"/>
        </w:trPr>
        <w:tc>
          <w:tcPr>
            <w:tcW w:w="2459" w:type="dxa"/>
            <w:tcBorders>
              <w:top w:val="double" w:color="auto" w:sz="4" w:space="0"/>
              <w:bottom w:val="single" w:color="auto" w:sz="4" w:space="0"/>
            </w:tcBorders>
            <w:shd w:val="pct10" w:color="auto" w:fill="auto"/>
          </w:tcPr>
          <w:p w14:paraId="1B87B8CD">
            <w:pPr>
              <w:pStyle w:val="4"/>
              <w:ind w:firstLine="0"/>
              <w:jc w:val="center"/>
              <w:rPr>
                <w:rFonts w:ascii="Arial Narrow" w:hAnsi="Arial Narrow"/>
                <w:b/>
                <w:szCs w:val="21"/>
              </w:rPr>
            </w:pPr>
            <w:r>
              <w:rPr>
                <w:rFonts w:ascii="Arial Narrow" w:hAnsi="Arial Narrow"/>
                <w:b/>
                <w:szCs w:val="21"/>
              </w:rPr>
              <w:t>项目</w:t>
            </w:r>
          </w:p>
        </w:tc>
        <w:tc>
          <w:tcPr>
            <w:tcW w:w="2087" w:type="dxa"/>
            <w:tcBorders>
              <w:top w:val="double" w:color="auto" w:sz="4" w:space="0"/>
              <w:bottom w:val="single" w:color="auto" w:sz="4" w:space="0"/>
            </w:tcBorders>
            <w:shd w:val="pct10" w:color="auto" w:fill="auto"/>
          </w:tcPr>
          <w:p w14:paraId="40C95615">
            <w:pPr>
              <w:pStyle w:val="4"/>
              <w:ind w:firstLine="0"/>
              <w:jc w:val="center"/>
              <w:rPr>
                <w:rFonts w:hint="eastAsia" w:asciiTheme="minorEastAsia" w:hAnsiTheme="minorEastAsia" w:eastAsiaTheme="minorEastAsia"/>
                <w:b/>
                <w:szCs w:val="21"/>
              </w:rPr>
            </w:pPr>
            <w:r>
              <w:rPr>
                <w:rFonts w:asciiTheme="minorEastAsia" w:hAnsiTheme="minorEastAsia" w:eastAsiaTheme="minorEastAsia"/>
                <w:b/>
                <w:szCs w:val="21"/>
              </w:rPr>
              <w:t>202</w:t>
            </w:r>
            <w:r>
              <w:rPr>
                <w:rFonts w:hint="eastAsia" w:asciiTheme="minorEastAsia" w:hAnsiTheme="minorEastAsia" w:eastAsiaTheme="minorEastAsia"/>
                <w:b/>
                <w:szCs w:val="21"/>
              </w:rPr>
              <w:t>2</w:t>
            </w:r>
            <w:r>
              <w:rPr>
                <w:rFonts w:asciiTheme="minorEastAsia" w:hAnsiTheme="minorEastAsia" w:eastAsiaTheme="minorEastAsia"/>
                <w:b/>
                <w:szCs w:val="21"/>
              </w:rPr>
              <w:t>.12.31</w:t>
            </w:r>
          </w:p>
        </w:tc>
        <w:tc>
          <w:tcPr>
            <w:tcW w:w="2087" w:type="dxa"/>
            <w:tcBorders>
              <w:top w:val="double" w:color="auto" w:sz="4" w:space="0"/>
              <w:bottom w:val="single" w:color="auto" w:sz="4" w:space="0"/>
            </w:tcBorders>
            <w:shd w:val="pct10" w:color="auto" w:fill="auto"/>
          </w:tcPr>
          <w:p w14:paraId="06F833A8">
            <w:pPr>
              <w:pStyle w:val="4"/>
              <w:ind w:firstLine="0"/>
              <w:jc w:val="center"/>
              <w:rPr>
                <w:rFonts w:hint="eastAsia" w:asciiTheme="minorEastAsia" w:hAnsiTheme="minorEastAsia" w:eastAsiaTheme="minorEastAsia"/>
                <w:b/>
                <w:szCs w:val="21"/>
              </w:rPr>
            </w:pPr>
            <w:r>
              <w:rPr>
                <w:rFonts w:asciiTheme="minorEastAsia" w:hAnsiTheme="minorEastAsia" w:eastAsiaTheme="minorEastAsia"/>
                <w:b/>
                <w:szCs w:val="21"/>
              </w:rPr>
              <w:t>202</w:t>
            </w:r>
            <w:r>
              <w:rPr>
                <w:rFonts w:hint="eastAsia" w:asciiTheme="minorEastAsia" w:hAnsiTheme="minorEastAsia" w:eastAsiaTheme="minorEastAsia"/>
                <w:b/>
                <w:szCs w:val="21"/>
              </w:rPr>
              <w:t>3</w:t>
            </w:r>
            <w:r>
              <w:rPr>
                <w:rFonts w:asciiTheme="minorEastAsia" w:hAnsiTheme="minorEastAsia" w:eastAsiaTheme="minorEastAsia"/>
                <w:b/>
                <w:szCs w:val="21"/>
              </w:rPr>
              <w:t>.12.31</w:t>
            </w:r>
          </w:p>
        </w:tc>
        <w:tc>
          <w:tcPr>
            <w:tcW w:w="2087" w:type="dxa"/>
            <w:tcBorders>
              <w:top w:val="double" w:color="auto" w:sz="4" w:space="0"/>
              <w:bottom w:val="single" w:color="auto" w:sz="4" w:space="0"/>
            </w:tcBorders>
            <w:shd w:val="pct10" w:color="auto" w:fill="auto"/>
          </w:tcPr>
          <w:p w14:paraId="7AE26734">
            <w:pPr>
              <w:pStyle w:val="4"/>
              <w:ind w:firstLine="0"/>
              <w:jc w:val="center"/>
              <w:rPr>
                <w:rFonts w:hint="eastAsia" w:asciiTheme="minorEastAsia" w:hAnsiTheme="minorEastAsia" w:eastAsiaTheme="minorEastAsia"/>
                <w:b/>
                <w:szCs w:val="21"/>
              </w:rPr>
            </w:pPr>
            <w:r>
              <w:rPr>
                <w:rFonts w:asciiTheme="minorEastAsia" w:hAnsiTheme="minorEastAsia" w:eastAsiaTheme="minorEastAsia"/>
                <w:b/>
                <w:szCs w:val="21"/>
              </w:rPr>
              <w:t>202</w:t>
            </w:r>
            <w:r>
              <w:rPr>
                <w:rFonts w:hint="eastAsia" w:asciiTheme="minorEastAsia" w:hAnsiTheme="minorEastAsia" w:eastAsiaTheme="minorEastAsia"/>
                <w:b/>
                <w:szCs w:val="21"/>
              </w:rPr>
              <w:t>4</w:t>
            </w:r>
            <w:r>
              <w:rPr>
                <w:rFonts w:asciiTheme="minorEastAsia" w:hAnsiTheme="minorEastAsia" w:eastAsiaTheme="minorEastAsia"/>
                <w:b/>
                <w:szCs w:val="21"/>
              </w:rPr>
              <w:t>.12.31</w:t>
            </w:r>
          </w:p>
        </w:tc>
      </w:tr>
      <w:tr w14:paraId="22F3EA5C">
        <w:tblPrEx>
          <w:tblBorders>
            <w:top w:val="double" w:color="auto" w:sz="4" w:space="0"/>
            <w:left w:val="none" w:color="auto" w:sz="0" w:space="0"/>
            <w:bottom w:val="doub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284" w:hRule="atLeast"/>
          <w:jc w:val="center"/>
        </w:trPr>
        <w:tc>
          <w:tcPr>
            <w:tcW w:w="2459" w:type="dxa"/>
            <w:tcBorders>
              <w:top w:val="single" w:color="auto" w:sz="4" w:space="0"/>
            </w:tcBorders>
            <w:vAlign w:val="center"/>
          </w:tcPr>
          <w:p w14:paraId="02E72489">
            <w:pPr>
              <w:pStyle w:val="4"/>
              <w:ind w:firstLine="0"/>
              <w:rPr>
                <w:rFonts w:ascii="Arial Narrow" w:hAnsi="Arial Narrow"/>
                <w:szCs w:val="21"/>
              </w:rPr>
            </w:pPr>
            <w:r>
              <w:rPr>
                <w:rFonts w:ascii="Arial Narrow" w:hAnsi="Arial Narrow"/>
                <w:szCs w:val="21"/>
              </w:rPr>
              <w:t>流动资产</w:t>
            </w:r>
          </w:p>
        </w:tc>
        <w:tc>
          <w:tcPr>
            <w:tcW w:w="2087" w:type="dxa"/>
            <w:tcBorders>
              <w:top w:val="single" w:color="auto" w:sz="4" w:space="0"/>
            </w:tcBorders>
          </w:tcPr>
          <w:p w14:paraId="78715011">
            <w:pPr>
              <w:pStyle w:val="4"/>
              <w:ind w:firstLine="0"/>
              <w:jc w:val="right"/>
              <w:rPr>
                <w:rFonts w:ascii="Arial Narrow" w:hAnsi="Arial Narrow"/>
                <w:szCs w:val="21"/>
              </w:rPr>
            </w:pPr>
            <w:r>
              <w:rPr>
                <w:rFonts w:hint="eastAsia" w:ascii="Arial Narrow" w:hAnsi="Arial Narrow"/>
                <w:szCs w:val="21"/>
              </w:rPr>
              <w:t>610.80</w:t>
            </w:r>
          </w:p>
        </w:tc>
        <w:tc>
          <w:tcPr>
            <w:tcW w:w="2087" w:type="dxa"/>
            <w:tcBorders>
              <w:top w:val="single" w:color="auto" w:sz="4" w:space="0"/>
            </w:tcBorders>
          </w:tcPr>
          <w:p w14:paraId="2E199424">
            <w:pPr>
              <w:pStyle w:val="4"/>
              <w:ind w:firstLine="0"/>
              <w:jc w:val="right"/>
              <w:rPr>
                <w:rFonts w:ascii="Arial Narrow" w:hAnsi="Arial Narrow"/>
                <w:szCs w:val="21"/>
              </w:rPr>
            </w:pPr>
            <w:r>
              <w:rPr>
                <w:rFonts w:hint="eastAsia" w:ascii="Arial Narrow" w:hAnsi="Arial Narrow"/>
                <w:szCs w:val="21"/>
              </w:rPr>
              <w:t>794.34</w:t>
            </w:r>
          </w:p>
        </w:tc>
        <w:tc>
          <w:tcPr>
            <w:tcW w:w="2087" w:type="dxa"/>
            <w:tcBorders>
              <w:top w:val="single" w:color="auto" w:sz="4" w:space="0"/>
            </w:tcBorders>
          </w:tcPr>
          <w:p w14:paraId="2654EC24">
            <w:pPr>
              <w:pStyle w:val="4"/>
              <w:ind w:firstLine="0"/>
              <w:jc w:val="right"/>
              <w:rPr>
                <w:rFonts w:ascii="Arial Narrow" w:hAnsi="Arial Narrow"/>
                <w:szCs w:val="21"/>
              </w:rPr>
            </w:pPr>
            <w:r>
              <w:rPr>
                <w:rFonts w:hint="eastAsia" w:ascii="Arial Narrow" w:hAnsi="Arial Narrow"/>
                <w:szCs w:val="21"/>
              </w:rPr>
              <w:t>855.61</w:t>
            </w:r>
          </w:p>
        </w:tc>
      </w:tr>
      <w:tr w14:paraId="1F645108">
        <w:tblPrEx>
          <w:tblBorders>
            <w:top w:val="double" w:color="auto" w:sz="4" w:space="0"/>
            <w:left w:val="none" w:color="auto" w:sz="0" w:space="0"/>
            <w:bottom w:val="doub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284" w:hRule="atLeast"/>
          <w:jc w:val="center"/>
        </w:trPr>
        <w:tc>
          <w:tcPr>
            <w:tcW w:w="2459" w:type="dxa"/>
            <w:tcBorders>
              <w:top w:val="single" w:color="auto" w:sz="4" w:space="0"/>
            </w:tcBorders>
            <w:vAlign w:val="center"/>
          </w:tcPr>
          <w:p w14:paraId="027297A1">
            <w:pPr>
              <w:pStyle w:val="4"/>
              <w:ind w:firstLine="0"/>
              <w:rPr>
                <w:rFonts w:ascii="Arial Narrow" w:hAnsi="Arial Narrow"/>
                <w:szCs w:val="21"/>
              </w:rPr>
            </w:pPr>
            <w:r>
              <w:rPr>
                <w:rFonts w:ascii="Arial Narrow" w:hAnsi="Arial Narrow"/>
                <w:szCs w:val="21"/>
              </w:rPr>
              <w:t>非流动资产</w:t>
            </w:r>
          </w:p>
        </w:tc>
        <w:tc>
          <w:tcPr>
            <w:tcW w:w="2087" w:type="dxa"/>
            <w:tcBorders>
              <w:top w:val="single" w:color="auto" w:sz="4" w:space="0"/>
            </w:tcBorders>
          </w:tcPr>
          <w:p w14:paraId="012FA48E">
            <w:pPr>
              <w:pStyle w:val="4"/>
              <w:ind w:firstLine="0"/>
              <w:jc w:val="right"/>
              <w:rPr>
                <w:rFonts w:ascii="Arial Narrow" w:hAnsi="Arial Narrow"/>
                <w:szCs w:val="21"/>
              </w:rPr>
            </w:pPr>
            <w:r>
              <w:rPr>
                <w:rFonts w:hint="eastAsia" w:ascii="Arial Narrow" w:hAnsi="Arial Narrow"/>
                <w:szCs w:val="21"/>
              </w:rPr>
              <w:t>1310.56</w:t>
            </w:r>
          </w:p>
        </w:tc>
        <w:tc>
          <w:tcPr>
            <w:tcW w:w="2087" w:type="dxa"/>
            <w:tcBorders>
              <w:top w:val="single" w:color="auto" w:sz="4" w:space="0"/>
            </w:tcBorders>
          </w:tcPr>
          <w:p w14:paraId="1BC87D62">
            <w:pPr>
              <w:pStyle w:val="4"/>
              <w:ind w:firstLine="0"/>
              <w:jc w:val="right"/>
              <w:rPr>
                <w:rFonts w:ascii="Arial Narrow" w:hAnsi="Arial Narrow"/>
                <w:szCs w:val="21"/>
              </w:rPr>
            </w:pPr>
            <w:r>
              <w:rPr>
                <w:rFonts w:hint="eastAsia" w:ascii="Arial Narrow" w:hAnsi="Arial Narrow"/>
                <w:szCs w:val="21"/>
              </w:rPr>
              <w:t>918.53</w:t>
            </w:r>
          </w:p>
        </w:tc>
        <w:tc>
          <w:tcPr>
            <w:tcW w:w="2087" w:type="dxa"/>
            <w:tcBorders>
              <w:top w:val="single" w:color="auto" w:sz="4" w:space="0"/>
            </w:tcBorders>
          </w:tcPr>
          <w:p w14:paraId="757EE000">
            <w:pPr>
              <w:pStyle w:val="4"/>
              <w:ind w:firstLine="0"/>
              <w:jc w:val="right"/>
              <w:rPr>
                <w:rFonts w:ascii="Arial Narrow" w:hAnsi="Arial Narrow"/>
                <w:szCs w:val="21"/>
              </w:rPr>
            </w:pPr>
            <w:r>
              <w:rPr>
                <w:rFonts w:hint="eastAsia" w:ascii="Arial Narrow" w:hAnsi="Arial Narrow"/>
                <w:szCs w:val="21"/>
              </w:rPr>
              <w:t>1240.46</w:t>
            </w:r>
          </w:p>
        </w:tc>
      </w:tr>
      <w:tr w14:paraId="00548BA6">
        <w:tblPrEx>
          <w:tblBorders>
            <w:top w:val="double" w:color="auto" w:sz="4" w:space="0"/>
            <w:left w:val="none" w:color="auto" w:sz="0" w:space="0"/>
            <w:bottom w:val="doub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284" w:hRule="atLeast"/>
          <w:jc w:val="center"/>
        </w:trPr>
        <w:tc>
          <w:tcPr>
            <w:tcW w:w="2459" w:type="dxa"/>
            <w:tcBorders>
              <w:top w:val="single" w:color="auto" w:sz="4" w:space="0"/>
            </w:tcBorders>
            <w:vAlign w:val="center"/>
          </w:tcPr>
          <w:p w14:paraId="668566DC">
            <w:pPr>
              <w:pStyle w:val="4"/>
              <w:ind w:firstLine="0"/>
              <w:rPr>
                <w:rFonts w:ascii="Arial Narrow" w:hAnsi="Arial Narrow"/>
                <w:szCs w:val="21"/>
              </w:rPr>
            </w:pPr>
            <w:r>
              <w:rPr>
                <w:rFonts w:ascii="Arial Narrow" w:hAnsi="Arial Narrow"/>
                <w:szCs w:val="21"/>
              </w:rPr>
              <w:t>其中：长期</w:t>
            </w:r>
            <w:r>
              <w:rPr>
                <w:rFonts w:hint="eastAsia" w:ascii="Arial Narrow" w:hAnsi="Arial Narrow"/>
                <w:szCs w:val="21"/>
              </w:rPr>
              <w:t>股权投资</w:t>
            </w:r>
          </w:p>
        </w:tc>
        <w:tc>
          <w:tcPr>
            <w:tcW w:w="2087" w:type="dxa"/>
            <w:tcBorders>
              <w:top w:val="single" w:color="auto" w:sz="4" w:space="0"/>
            </w:tcBorders>
          </w:tcPr>
          <w:p w14:paraId="26C806A7">
            <w:pPr>
              <w:pStyle w:val="4"/>
              <w:ind w:firstLine="0"/>
              <w:jc w:val="right"/>
              <w:rPr>
                <w:rFonts w:ascii="Arial Narrow" w:hAnsi="Arial Narrow"/>
                <w:szCs w:val="21"/>
              </w:rPr>
            </w:pPr>
          </w:p>
        </w:tc>
        <w:tc>
          <w:tcPr>
            <w:tcW w:w="2087" w:type="dxa"/>
            <w:tcBorders>
              <w:top w:val="single" w:color="auto" w:sz="4" w:space="0"/>
            </w:tcBorders>
          </w:tcPr>
          <w:p w14:paraId="62B3EA64">
            <w:pPr>
              <w:pStyle w:val="4"/>
              <w:ind w:firstLine="0"/>
              <w:jc w:val="right"/>
              <w:rPr>
                <w:rFonts w:ascii="Arial Narrow" w:hAnsi="Arial Narrow"/>
                <w:szCs w:val="21"/>
              </w:rPr>
            </w:pPr>
          </w:p>
        </w:tc>
        <w:tc>
          <w:tcPr>
            <w:tcW w:w="2087" w:type="dxa"/>
            <w:tcBorders>
              <w:top w:val="single" w:color="auto" w:sz="4" w:space="0"/>
            </w:tcBorders>
          </w:tcPr>
          <w:p w14:paraId="2B33E13C">
            <w:pPr>
              <w:pStyle w:val="4"/>
              <w:ind w:firstLine="0"/>
              <w:jc w:val="right"/>
              <w:rPr>
                <w:rFonts w:ascii="Arial Narrow" w:hAnsi="Arial Narrow"/>
                <w:szCs w:val="21"/>
              </w:rPr>
            </w:pPr>
          </w:p>
        </w:tc>
      </w:tr>
      <w:tr w14:paraId="777B5223">
        <w:tblPrEx>
          <w:tblBorders>
            <w:top w:val="double" w:color="auto" w:sz="4" w:space="0"/>
            <w:left w:val="none" w:color="auto" w:sz="0" w:space="0"/>
            <w:bottom w:val="doub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284" w:hRule="atLeast"/>
          <w:jc w:val="center"/>
        </w:trPr>
        <w:tc>
          <w:tcPr>
            <w:tcW w:w="2459" w:type="dxa"/>
            <w:tcBorders>
              <w:top w:val="single" w:color="auto" w:sz="4" w:space="0"/>
            </w:tcBorders>
            <w:vAlign w:val="center"/>
          </w:tcPr>
          <w:p w14:paraId="467E1268">
            <w:pPr>
              <w:pStyle w:val="4"/>
              <w:ind w:firstLine="0"/>
              <w:rPr>
                <w:rFonts w:ascii="Arial Narrow" w:hAnsi="Arial Narrow"/>
                <w:szCs w:val="21"/>
              </w:rPr>
            </w:pPr>
            <w:r>
              <w:rPr>
                <w:rFonts w:ascii="Arial Narrow" w:hAnsi="Arial Narrow"/>
                <w:szCs w:val="21"/>
              </w:rPr>
              <w:t>投资性房地产</w:t>
            </w:r>
          </w:p>
        </w:tc>
        <w:tc>
          <w:tcPr>
            <w:tcW w:w="2087" w:type="dxa"/>
            <w:tcBorders>
              <w:top w:val="single" w:color="auto" w:sz="4" w:space="0"/>
            </w:tcBorders>
            <w:vAlign w:val="center"/>
          </w:tcPr>
          <w:p w14:paraId="6D94F4F9">
            <w:pPr>
              <w:pStyle w:val="4"/>
              <w:ind w:firstLine="0"/>
              <w:jc w:val="right"/>
              <w:rPr>
                <w:rFonts w:ascii="Arial Narrow" w:hAnsi="Arial Narrow"/>
                <w:szCs w:val="21"/>
              </w:rPr>
            </w:pPr>
          </w:p>
        </w:tc>
        <w:tc>
          <w:tcPr>
            <w:tcW w:w="2087" w:type="dxa"/>
            <w:tcBorders>
              <w:top w:val="single" w:color="auto" w:sz="4" w:space="0"/>
            </w:tcBorders>
            <w:vAlign w:val="center"/>
          </w:tcPr>
          <w:p w14:paraId="0686F0D8">
            <w:pPr>
              <w:pStyle w:val="4"/>
              <w:ind w:firstLine="0"/>
              <w:jc w:val="right"/>
              <w:rPr>
                <w:rFonts w:ascii="Arial Narrow" w:hAnsi="Arial Narrow"/>
                <w:szCs w:val="21"/>
              </w:rPr>
            </w:pPr>
          </w:p>
        </w:tc>
        <w:tc>
          <w:tcPr>
            <w:tcW w:w="2087" w:type="dxa"/>
            <w:tcBorders>
              <w:top w:val="single" w:color="auto" w:sz="4" w:space="0"/>
            </w:tcBorders>
            <w:vAlign w:val="center"/>
          </w:tcPr>
          <w:p w14:paraId="01D22FAB">
            <w:pPr>
              <w:pStyle w:val="4"/>
              <w:ind w:firstLine="0"/>
              <w:jc w:val="right"/>
              <w:rPr>
                <w:rFonts w:ascii="Arial Narrow" w:hAnsi="Arial Narrow"/>
                <w:szCs w:val="21"/>
              </w:rPr>
            </w:pPr>
          </w:p>
        </w:tc>
      </w:tr>
      <w:tr w14:paraId="6E672170">
        <w:tblPrEx>
          <w:tblBorders>
            <w:top w:val="double" w:color="auto" w:sz="4" w:space="0"/>
            <w:left w:val="none" w:color="auto" w:sz="0" w:space="0"/>
            <w:bottom w:val="doub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284" w:hRule="atLeast"/>
          <w:jc w:val="center"/>
        </w:trPr>
        <w:tc>
          <w:tcPr>
            <w:tcW w:w="2459" w:type="dxa"/>
            <w:tcBorders>
              <w:top w:val="single" w:color="auto" w:sz="4" w:space="0"/>
            </w:tcBorders>
            <w:vAlign w:val="center"/>
          </w:tcPr>
          <w:p w14:paraId="510B1090">
            <w:pPr>
              <w:pStyle w:val="4"/>
              <w:ind w:firstLine="0"/>
              <w:rPr>
                <w:rFonts w:ascii="Arial Narrow" w:hAnsi="Arial Narrow"/>
                <w:szCs w:val="21"/>
              </w:rPr>
            </w:pPr>
            <w:r>
              <w:rPr>
                <w:rFonts w:ascii="Arial Narrow" w:hAnsi="Arial Narrow"/>
                <w:szCs w:val="21"/>
              </w:rPr>
              <w:t>固定资产</w:t>
            </w:r>
          </w:p>
        </w:tc>
        <w:tc>
          <w:tcPr>
            <w:tcW w:w="2087" w:type="dxa"/>
            <w:tcBorders>
              <w:top w:val="single" w:color="auto" w:sz="4" w:space="0"/>
            </w:tcBorders>
          </w:tcPr>
          <w:p w14:paraId="30873ADB">
            <w:pPr>
              <w:pStyle w:val="4"/>
              <w:ind w:firstLine="0"/>
              <w:jc w:val="right"/>
              <w:rPr>
                <w:rFonts w:ascii="Arial Narrow" w:hAnsi="Arial Narrow"/>
                <w:szCs w:val="21"/>
              </w:rPr>
            </w:pPr>
            <w:r>
              <w:rPr>
                <w:rFonts w:hint="eastAsia" w:ascii="Arial Narrow" w:hAnsi="Arial Narrow"/>
                <w:szCs w:val="21"/>
              </w:rPr>
              <w:t>1090.22</w:t>
            </w:r>
          </w:p>
        </w:tc>
        <w:tc>
          <w:tcPr>
            <w:tcW w:w="2087" w:type="dxa"/>
            <w:tcBorders>
              <w:top w:val="single" w:color="auto" w:sz="4" w:space="0"/>
            </w:tcBorders>
          </w:tcPr>
          <w:p w14:paraId="4EE9B588">
            <w:pPr>
              <w:pStyle w:val="4"/>
              <w:ind w:firstLine="0"/>
              <w:jc w:val="right"/>
              <w:rPr>
                <w:rFonts w:ascii="Arial Narrow" w:hAnsi="Arial Narrow"/>
                <w:szCs w:val="21"/>
              </w:rPr>
            </w:pPr>
            <w:r>
              <w:rPr>
                <w:rFonts w:hint="eastAsia" w:ascii="Arial Narrow" w:hAnsi="Arial Narrow"/>
                <w:szCs w:val="21"/>
              </w:rPr>
              <w:t>735.63</w:t>
            </w:r>
          </w:p>
        </w:tc>
        <w:tc>
          <w:tcPr>
            <w:tcW w:w="2087" w:type="dxa"/>
            <w:tcBorders>
              <w:top w:val="single" w:color="auto" w:sz="4" w:space="0"/>
            </w:tcBorders>
          </w:tcPr>
          <w:p w14:paraId="76E5F14D">
            <w:pPr>
              <w:pStyle w:val="4"/>
              <w:ind w:firstLine="0"/>
              <w:jc w:val="right"/>
              <w:rPr>
                <w:rFonts w:ascii="Arial Narrow" w:hAnsi="Arial Narrow"/>
                <w:szCs w:val="21"/>
              </w:rPr>
            </w:pPr>
            <w:r>
              <w:rPr>
                <w:rFonts w:hint="eastAsia" w:ascii="Arial Narrow" w:hAnsi="Arial Narrow"/>
                <w:szCs w:val="21"/>
              </w:rPr>
              <w:t>942.64</w:t>
            </w:r>
          </w:p>
        </w:tc>
      </w:tr>
      <w:tr w14:paraId="376D940E">
        <w:tblPrEx>
          <w:tblBorders>
            <w:top w:val="double" w:color="auto" w:sz="4" w:space="0"/>
            <w:left w:val="none" w:color="auto" w:sz="0" w:space="0"/>
            <w:bottom w:val="doub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284" w:hRule="atLeast"/>
          <w:jc w:val="center"/>
        </w:trPr>
        <w:tc>
          <w:tcPr>
            <w:tcW w:w="2459" w:type="dxa"/>
            <w:tcBorders>
              <w:top w:val="single" w:color="auto" w:sz="4" w:space="0"/>
            </w:tcBorders>
            <w:vAlign w:val="center"/>
          </w:tcPr>
          <w:p w14:paraId="057AB94E">
            <w:pPr>
              <w:pStyle w:val="4"/>
              <w:ind w:firstLine="0"/>
              <w:rPr>
                <w:rFonts w:ascii="Arial Narrow" w:hAnsi="Arial Narrow"/>
                <w:szCs w:val="21"/>
              </w:rPr>
            </w:pPr>
            <w:r>
              <w:rPr>
                <w:rFonts w:ascii="Arial Narrow" w:hAnsi="Arial Narrow"/>
                <w:szCs w:val="21"/>
              </w:rPr>
              <w:t>在建工程</w:t>
            </w:r>
          </w:p>
        </w:tc>
        <w:tc>
          <w:tcPr>
            <w:tcW w:w="2087" w:type="dxa"/>
            <w:tcBorders>
              <w:top w:val="single" w:color="auto" w:sz="4" w:space="0"/>
            </w:tcBorders>
          </w:tcPr>
          <w:p w14:paraId="5023A34D">
            <w:pPr>
              <w:pStyle w:val="4"/>
              <w:ind w:firstLine="0"/>
              <w:jc w:val="right"/>
              <w:rPr>
                <w:rFonts w:ascii="Arial Narrow" w:hAnsi="Arial Narrow"/>
                <w:szCs w:val="21"/>
              </w:rPr>
            </w:pPr>
          </w:p>
        </w:tc>
        <w:tc>
          <w:tcPr>
            <w:tcW w:w="2087" w:type="dxa"/>
            <w:tcBorders>
              <w:top w:val="single" w:color="auto" w:sz="4" w:space="0"/>
            </w:tcBorders>
          </w:tcPr>
          <w:p w14:paraId="023CA322">
            <w:pPr>
              <w:pStyle w:val="4"/>
              <w:ind w:firstLine="0"/>
              <w:jc w:val="right"/>
              <w:rPr>
                <w:rFonts w:ascii="Arial Narrow" w:hAnsi="Arial Narrow"/>
                <w:szCs w:val="21"/>
              </w:rPr>
            </w:pPr>
          </w:p>
        </w:tc>
        <w:tc>
          <w:tcPr>
            <w:tcW w:w="2087" w:type="dxa"/>
            <w:tcBorders>
              <w:top w:val="single" w:color="auto" w:sz="4" w:space="0"/>
            </w:tcBorders>
          </w:tcPr>
          <w:p w14:paraId="6B4B00E0">
            <w:pPr>
              <w:pStyle w:val="4"/>
              <w:ind w:firstLine="0"/>
              <w:jc w:val="right"/>
              <w:rPr>
                <w:rFonts w:ascii="Arial Narrow" w:hAnsi="Arial Narrow"/>
                <w:szCs w:val="21"/>
              </w:rPr>
            </w:pPr>
          </w:p>
        </w:tc>
      </w:tr>
      <w:tr w14:paraId="7D70A0E1">
        <w:tblPrEx>
          <w:tblBorders>
            <w:top w:val="double" w:color="auto" w:sz="4" w:space="0"/>
            <w:left w:val="none" w:color="auto" w:sz="0" w:space="0"/>
            <w:bottom w:val="doub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284" w:hRule="atLeast"/>
          <w:jc w:val="center"/>
        </w:trPr>
        <w:tc>
          <w:tcPr>
            <w:tcW w:w="2459" w:type="dxa"/>
            <w:tcBorders>
              <w:top w:val="single" w:color="auto" w:sz="4" w:space="0"/>
            </w:tcBorders>
            <w:vAlign w:val="center"/>
          </w:tcPr>
          <w:p w14:paraId="01D59F40">
            <w:pPr>
              <w:pStyle w:val="4"/>
              <w:ind w:firstLine="0"/>
              <w:rPr>
                <w:rFonts w:ascii="Arial Narrow" w:hAnsi="Arial Narrow"/>
                <w:szCs w:val="21"/>
              </w:rPr>
            </w:pPr>
            <w:r>
              <w:rPr>
                <w:rFonts w:ascii="Arial Narrow" w:hAnsi="Arial Narrow"/>
                <w:szCs w:val="21"/>
              </w:rPr>
              <w:t>无形资产</w:t>
            </w:r>
          </w:p>
        </w:tc>
        <w:tc>
          <w:tcPr>
            <w:tcW w:w="2087" w:type="dxa"/>
            <w:tcBorders>
              <w:top w:val="single" w:color="auto" w:sz="4" w:space="0"/>
            </w:tcBorders>
          </w:tcPr>
          <w:p w14:paraId="7B4B1CA2">
            <w:pPr>
              <w:pStyle w:val="4"/>
              <w:ind w:firstLine="0"/>
              <w:jc w:val="right"/>
              <w:rPr>
                <w:rFonts w:ascii="Arial Narrow" w:hAnsi="Arial Narrow"/>
                <w:szCs w:val="21"/>
              </w:rPr>
            </w:pPr>
          </w:p>
        </w:tc>
        <w:tc>
          <w:tcPr>
            <w:tcW w:w="2087" w:type="dxa"/>
            <w:tcBorders>
              <w:top w:val="single" w:color="auto" w:sz="4" w:space="0"/>
            </w:tcBorders>
          </w:tcPr>
          <w:p w14:paraId="0B967083">
            <w:pPr>
              <w:pStyle w:val="4"/>
              <w:ind w:firstLine="0"/>
              <w:jc w:val="right"/>
              <w:rPr>
                <w:rFonts w:ascii="Arial Narrow" w:hAnsi="Arial Narrow"/>
                <w:szCs w:val="21"/>
              </w:rPr>
            </w:pPr>
          </w:p>
        </w:tc>
        <w:tc>
          <w:tcPr>
            <w:tcW w:w="2087" w:type="dxa"/>
            <w:tcBorders>
              <w:top w:val="single" w:color="auto" w:sz="4" w:space="0"/>
            </w:tcBorders>
          </w:tcPr>
          <w:p w14:paraId="25670D29">
            <w:pPr>
              <w:pStyle w:val="4"/>
              <w:ind w:firstLine="0"/>
              <w:jc w:val="right"/>
              <w:rPr>
                <w:rFonts w:ascii="Arial Narrow" w:hAnsi="Arial Narrow"/>
                <w:szCs w:val="21"/>
              </w:rPr>
            </w:pPr>
          </w:p>
        </w:tc>
      </w:tr>
      <w:tr w14:paraId="24E2B7CB">
        <w:tblPrEx>
          <w:tblBorders>
            <w:top w:val="double" w:color="auto" w:sz="4" w:space="0"/>
            <w:left w:val="none" w:color="auto" w:sz="0" w:space="0"/>
            <w:bottom w:val="doub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284" w:hRule="atLeast"/>
          <w:jc w:val="center"/>
        </w:trPr>
        <w:tc>
          <w:tcPr>
            <w:tcW w:w="2459" w:type="dxa"/>
            <w:tcBorders>
              <w:top w:val="single" w:color="auto" w:sz="4" w:space="0"/>
            </w:tcBorders>
            <w:vAlign w:val="center"/>
          </w:tcPr>
          <w:p w14:paraId="64D8C069">
            <w:pPr>
              <w:pStyle w:val="4"/>
              <w:ind w:firstLine="0"/>
              <w:rPr>
                <w:rFonts w:ascii="Arial Narrow" w:hAnsi="Arial Narrow"/>
                <w:szCs w:val="21"/>
              </w:rPr>
            </w:pPr>
            <w:r>
              <w:rPr>
                <w:rFonts w:hint="eastAsia" w:ascii="Arial Narrow" w:hAnsi="Arial Narrow"/>
                <w:szCs w:val="21"/>
              </w:rPr>
              <w:t>长期待摊费用</w:t>
            </w:r>
          </w:p>
        </w:tc>
        <w:tc>
          <w:tcPr>
            <w:tcW w:w="2087" w:type="dxa"/>
            <w:tcBorders>
              <w:top w:val="single" w:color="auto" w:sz="4" w:space="0"/>
            </w:tcBorders>
            <w:vAlign w:val="center"/>
          </w:tcPr>
          <w:p w14:paraId="6A5A72E7">
            <w:pPr>
              <w:pStyle w:val="4"/>
              <w:ind w:firstLine="0"/>
              <w:jc w:val="right"/>
              <w:rPr>
                <w:rFonts w:ascii="Arial Narrow" w:hAnsi="Arial Narrow"/>
                <w:szCs w:val="21"/>
              </w:rPr>
            </w:pPr>
            <w:r>
              <w:rPr>
                <w:rFonts w:hint="eastAsia" w:ascii="Arial Narrow" w:hAnsi="Arial Narrow"/>
                <w:szCs w:val="21"/>
              </w:rPr>
              <w:t>212.85</w:t>
            </w:r>
          </w:p>
        </w:tc>
        <w:tc>
          <w:tcPr>
            <w:tcW w:w="2087" w:type="dxa"/>
            <w:tcBorders>
              <w:top w:val="single" w:color="auto" w:sz="4" w:space="0"/>
            </w:tcBorders>
            <w:vAlign w:val="center"/>
          </w:tcPr>
          <w:p w14:paraId="2AF7044D">
            <w:pPr>
              <w:pStyle w:val="4"/>
              <w:ind w:firstLine="0"/>
              <w:jc w:val="right"/>
              <w:rPr>
                <w:rFonts w:ascii="Arial Narrow" w:hAnsi="Arial Narrow"/>
                <w:szCs w:val="21"/>
              </w:rPr>
            </w:pPr>
            <w:r>
              <w:rPr>
                <w:rFonts w:hint="eastAsia" w:ascii="Arial Narrow" w:hAnsi="Arial Narrow"/>
                <w:szCs w:val="21"/>
              </w:rPr>
              <w:t>170.20</w:t>
            </w:r>
          </w:p>
        </w:tc>
        <w:tc>
          <w:tcPr>
            <w:tcW w:w="2087" w:type="dxa"/>
            <w:tcBorders>
              <w:top w:val="single" w:color="auto" w:sz="4" w:space="0"/>
            </w:tcBorders>
            <w:vAlign w:val="center"/>
          </w:tcPr>
          <w:p w14:paraId="616CC587">
            <w:pPr>
              <w:pStyle w:val="4"/>
              <w:ind w:firstLine="0"/>
              <w:jc w:val="right"/>
              <w:rPr>
                <w:rFonts w:ascii="Arial Narrow" w:hAnsi="Arial Narrow"/>
                <w:szCs w:val="21"/>
              </w:rPr>
            </w:pPr>
            <w:r>
              <w:rPr>
                <w:rFonts w:hint="eastAsia" w:ascii="Arial Narrow" w:hAnsi="Arial Narrow"/>
                <w:szCs w:val="21"/>
              </w:rPr>
              <w:t>272.06</w:t>
            </w:r>
          </w:p>
        </w:tc>
      </w:tr>
      <w:tr w14:paraId="2E15F5DF">
        <w:tblPrEx>
          <w:tblBorders>
            <w:top w:val="double" w:color="auto" w:sz="4" w:space="0"/>
            <w:left w:val="none" w:color="auto" w:sz="0" w:space="0"/>
            <w:bottom w:val="doub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284" w:hRule="atLeast"/>
          <w:jc w:val="center"/>
        </w:trPr>
        <w:tc>
          <w:tcPr>
            <w:tcW w:w="2459" w:type="dxa"/>
            <w:tcBorders>
              <w:top w:val="single" w:color="auto" w:sz="4" w:space="0"/>
            </w:tcBorders>
            <w:vAlign w:val="center"/>
          </w:tcPr>
          <w:p w14:paraId="28B1A1DE">
            <w:pPr>
              <w:pStyle w:val="4"/>
              <w:ind w:firstLine="0"/>
              <w:rPr>
                <w:rFonts w:ascii="Arial Narrow" w:hAnsi="Arial Narrow"/>
                <w:szCs w:val="21"/>
              </w:rPr>
            </w:pPr>
            <w:r>
              <w:rPr>
                <w:rFonts w:hint="eastAsia" w:ascii="Arial Narrow" w:hAnsi="Arial Narrow"/>
                <w:szCs w:val="21"/>
              </w:rPr>
              <w:t>递延所得税资产</w:t>
            </w:r>
          </w:p>
        </w:tc>
        <w:tc>
          <w:tcPr>
            <w:tcW w:w="2087" w:type="dxa"/>
            <w:tcBorders>
              <w:top w:val="single" w:color="auto" w:sz="4" w:space="0"/>
            </w:tcBorders>
          </w:tcPr>
          <w:p w14:paraId="419B8130">
            <w:pPr>
              <w:pStyle w:val="4"/>
              <w:ind w:firstLine="0"/>
              <w:jc w:val="right"/>
              <w:rPr>
                <w:rFonts w:ascii="Arial Narrow" w:hAnsi="Arial Narrow"/>
                <w:szCs w:val="21"/>
              </w:rPr>
            </w:pPr>
            <w:r>
              <w:rPr>
                <w:rFonts w:hint="eastAsia" w:ascii="Arial Narrow" w:hAnsi="Arial Narrow"/>
                <w:szCs w:val="21"/>
              </w:rPr>
              <w:t>7.49</w:t>
            </w:r>
          </w:p>
        </w:tc>
        <w:tc>
          <w:tcPr>
            <w:tcW w:w="2087" w:type="dxa"/>
            <w:tcBorders>
              <w:top w:val="single" w:color="auto" w:sz="4" w:space="0"/>
            </w:tcBorders>
          </w:tcPr>
          <w:p w14:paraId="05B7E97B">
            <w:pPr>
              <w:pStyle w:val="4"/>
              <w:ind w:firstLine="0"/>
              <w:jc w:val="right"/>
              <w:rPr>
                <w:rFonts w:ascii="Arial Narrow" w:hAnsi="Arial Narrow"/>
                <w:szCs w:val="21"/>
              </w:rPr>
            </w:pPr>
            <w:r>
              <w:rPr>
                <w:rFonts w:hint="eastAsia" w:ascii="Arial Narrow" w:hAnsi="Arial Narrow"/>
                <w:szCs w:val="21"/>
              </w:rPr>
              <w:t>12.70</w:t>
            </w:r>
          </w:p>
        </w:tc>
        <w:tc>
          <w:tcPr>
            <w:tcW w:w="2087" w:type="dxa"/>
            <w:tcBorders>
              <w:top w:val="single" w:color="auto" w:sz="4" w:space="0"/>
            </w:tcBorders>
          </w:tcPr>
          <w:p w14:paraId="7B84BB64">
            <w:pPr>
              <w:pStyle w:val="4"/>
              <w:ind w:firstLine="0"/>
              <w:jc w:val="right"/>
              <w:rPr>
                <w:rFonts w:ascii="Arial Narrow" w:hAnsi="Arial Narrow"/>
                <w:szCs w:val="21"/>
              </w:rPr>
            </w:pPr>
            <w:r>
              <w:rPr>
                <w:rFonts w:hint="eastAsia" w:ascii="Arial Narrow" w:hAnsi="Arial Narrow"/>
                <w:szCs w:val="21"/>
              </w:rPr>
              <w:t>25.76</w:t>
            </w:r>
          </w:p>
        </w:tc>
      </w:tr>
      <w:tr w14:paraId="4CCFCA5E">
        <w:tblPrEx>
          <w:tblBorders>
            <w:top w:val="double" w:color="auto" w:sz="4" w:space="0"/>
            <w:left w:val="none" w:color="auto" w:sz="0" w:space="0"/>
            <w:bottom w:val="doub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284" w:hRule="atLeast"/>
          <w:jc w:val="center"/>
        </w:trPr>
        <w:tc>
          <w:tcPr>
            <w:tcW w:w="2459" w:type="dxa"/>
            <w:tcBorders>
              <w:top w:val="single" w:color="auto" w:sz="4" w:space="0"/>
            </w:tcBorders>
            <w:vAlign w:val="center"/>
          </w:tcPr>
          <w:p w14:paraId="1B86404F">
            <w:pPr>
              <w:pStyle w:val="4"/>
              <w:ind w:firstLine="0"/>
              <w:rPr>
                <w:rFonts w:ascii="Arial Narrow" w:hAnsi="Arial Narrow"/>
                <w:b/>
                <w:szCs w:val="21"/>
              </w:rPr>
            </w:pPr>
            <w:r>
              <w:fldChar w:fldCharType="begin"/>
            </w:r>
            <w:r>
              <w:instrText xml:space="preserve"> HYPERLINK "file:///E:\\1资产评估\\1天健兴业\\0评估程序\\3评估报告模板\\1评估模板-feng\\2成本法评估明细表\\资产评估明细表（工贸企业）.xls" \l "分类汇总!B38" </w:instrText>
            </w:r>
            <w:r>
              <w:fldChar w:fldCharType="separate"/>
            </w:r>
            <w:r>
              <w:rPr>
                <w:rFonts w:ascii="Arial Narrow" w:hAnsi="Arial Narrow"/>
                <w:b/>
                <w:szCs w:val="21"/>
              </w:rPr>
              <w:t>资产总计</w:t>
            </w:r>
            <w:r>
              <w:rPr>
                <w:rFonts w:ascii="Arial Narrow" w:hAnsi="Arial Narrow"/>
                <w:b/>
                <w:szCs w:val="21"/>
              </w:rPr>
              <w:fldChar w:fldCharType="end"/>
            </w:r>
          </w:p>
        </w:tc>
        <w:tc>
          <w:tcPr>
            <w:tcW w:w="2087" w:type="dxa"/>
            <w:tcBorders>
              <w:top w:val="single" w:color="auto" w:sz="4" w:space="0"/>
            </w:tcBorders>
          </w:tcPr>
          <w:p w14:paraId="085DD771">
            <w:pPr>
              <w:pStyle w:val="4"/>
              <w:ind w:firstLine="0"/>
              <w:jc w:val="right"/>
              <w:rPr>
                <w:rFonts w:ascii="Arial Narrow" w:hAnsi="Arial Narrow"/>
                <w:szCs w:val="21"/>
              </w:rPr>
            </w:pPr>
            <w:r>
              <w:rPr>
                <w:rFonts w:hint="eastAsia" w:ascii="Arial Narrow" w:hAnsi="Arial Narrow"/>
                <w:szCs w:val="21"/>
              </w:rPr>
              <w:t>1921.36</w:t>
            </w:r>
          </w:p>
        </w:tc>
        <w:tc>
          <w:tcPr>
            <w:tcW w:w="2087" w:type="dxa"/>
            <w:tcBorders>
              <w:top w:val="single" w:color="auto" w:sz="4" w:space="0"/>
            </w:tcBorders>
          </w:tcPr>
          <w:p w14:paraId="131EBB22">
            <w:pPr>
              <w:pStyle w:val="4"/>
              <w:ind w:firstLine="0"/>
              <w:jc w:val="right"/>
              <w:rPr>
                <w:rFonts w:ascii="Arial Narrow" w:hAnsi="Arial Narrow"/>
                <w:szCs w:val="21"/>
              </w:rPr>
            </w:pPr>
            <w:r>
              <w:rPr>
                <w:rFonts w:hint="eastAsia" w:ascii="Arial Narrow" w:hAnsi="Arial Narrow"/>
                <w:szCs w:val="21"/>
              </w:rPr>
              <w:t>1712.88</w:t>
            </w:r>
          </w:p>
        </w:tc>
        <w:tc>
          <w:tcPr>
            <w:tcW w:w="2087" w:type="dxa"/>
            <w:tcBorders>
              <w:top w:val="single" w:color="auto" w:sz="4" w:space="0"/>
            </w:tcBorders>
          </w:tcPr>
          <w:p w14:paraId="1CFDB9DB">
            <w:pPr>
              <w:pStyle w:val="4"/>
              <w:ind w:firstLine="0"/>
              <w:jc w:val="right"/>
              <w:rPr>
                <w:rFonts w:ascii="Arial Narrow" w:hAnsi="Arial Narrow"/>
                <w:szCs w:val="21"/>
              </w:rPr>
            </w:pPr>
            <w:r>
              <w:rPr>
                <w:rFonts w:hint="eastAsia" w:ascii="Arial Narrow" w:hAnsi="Arial Narrow"/>
                <w:szCs w:val="21"/>
              </w:rPr>
              <w:t>2096.07</w:t>
            </w:r>
          </w:p>
        </w:tc>
      </w:tr>
      <w:tr w14:paraId="687CC4F0">
        <w:tblPrEx>
          <w:tblBorders>
            <w:top w:val="double" w:color="auto" w:sz="4" w:space="0"/>
            <w:left w:val="none" w:color="auto" w:sz="0" w:space="0"/>
            <w:bottom w:val="doub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284" w:hRule="atLeast"/>
          <w:jc w:val="center"/>
        </w:trPr>
        <w:tc>
          <w:tcPr>
            <w:tcW w:w="2459" w:type="dxa"/>
            <w:tcBorders>
              <w:top w:val="single" w:color="auto" w:sz="4" w:space="0"/>
            </w:tcBorders>
            <w:vAlign w:val="center"/>
          </w:tcPr>
          <w:p w14:paraId="5A9360BF">
            <w:pPr>
              <w:pStyle w:val="4"/>
              <w:ind w:firstLine="0"/>
              <w:rPr>
                <w:rFonts w:ascii="Arial Narrow" w:hAnsi="Arial Narrow"/>
                <w:szCs w:val="21"/>
              </w:rPr>
            </w:pPr>
            <w:r>
              <w:rPr>
                <w:rFonts w:ascii="Arial Narrow" w:hAnsi="Arial Narrow"/>
                <w:szCs w:val="21"/>
              </w:rPr>
              <w:t>流动负债</w:t>
            </w:r>
          </w:p>
        </w:tc>
        <w:tc>
          <w:tcPr>
            <w:tcW w:w="2087" w:type="dxa"/>
            <w:tcBorders>
              <w:top w:val="single" w:color="auto" w:sz="4" w:space="0"/>
            </w:tcBorders>
            <w:vAlign w:val="center"/>
          </w:tcPr>
          <w:p w14:paraId="62F36F1A">
            <w:pPr>
              <w:pStyle w:val="4"/>
              <w:ind w:firstLine="0"/>
              <w:jc w:val="right"/>
              <w:rPr>
                <w:rFonts w:ascii="Arial Narrow" w:hAnsi="Arial Narrow"/>
                <w:szCs w:val="21"/>
              </w:rPr>
            </w:pPr>
            <w:r>
              <w:rPr>
                <w:rFonts w:hint="eastAsia" w:ascii="Arial Narrow" w:hAnsi="Arial Narrow"/>
                <w:szCs w:val="21"/>
              </w:rPr>
              <w:t>978.03</w:t>
            </w:r>
          </w:p>
        </w:tc>
        <w:tc>
          <w:tcPr>
            <w:tcW w:w="2087" w:type="dxa"/>
            <w:tcBorders>
              <w:top w:val="single" w:color="auto" w:sz="4" w:space="0"/>
            </w:tcBorders>
            <w:vAlign w:val="center"/>
          </w:tcPr>
          <w:p w14:paraId="2FFA31FB">
            <w:pPr>
              <w:pStyle w:val="4"/>
              <w:ind w:firstLine="0"/>
              <w:jc w:val="right"/>
              <w:rPr>
                <w:rFonts w:ascii="Arial Narrow" w:hAnsi="Arial Narrow"/>
                <w:szCs w:val="21"/>
              </w:rPr>
            </w:pPr>
            <w:r>
              <w:rPr>
                <w:rFonts w:hint="eastAsia" w:ascii="Arial Narrow" w:hAnsi="Arial Narrow"/>
                <w:szCs w:val="21"/>
              </w:rPr>
              <w:t>696.83</w:t>
            </w:r>
          </w:p>
        </w:tc>
        <w:tc>
          <w:tcPr>
            <w:tcW w:w="2087" w:type="dxa"/>
            <w:tcBorders>
              <w:top w:val="single" w:color="auto" w:sz="4" w:space="0"/>
            </w:tcBorders>
            <w:vAlign w:val="center"/>
          </w:tcPr>
          <w:p w14:paraId="2C5C357D">
            <w:pPr>
              <w:pStyle w:val="4"/>
              <w:ind w:firstLine="0"/>
              <w:jc w:val="right"/>
              <w:rPr>
                <w:rFonts w:ascii="Arial Narrow" w:hAnsi="Arial Narrow"/>
                <w:szCs w:val="21"/>
              </w:rPr>
            </w:pPr>
            <w:r>
              <w:rPr>
                <w:rFonts w:hint="eastAsia" w:ascii="Arial Narrow" w:hAnsi="Arial Narrow"/>
                <w:szCs w:val="21"/>
              </w:rPr>
              <w:t>1060.02</w:t>
            </w:r>
          </w:p>
        </w:tc>
      </w:tr>
      <w:tr w14:paraId="517EEEDE">
        <w:tblPrEx>
          <w:tblBorders>
            <w:top w:val="double" w:color="auto" w:sz="4" w:space="0"/>
            <w:left w:val="none" w:color="auto" w:sz="0" w:space="0"/>
            <w:bottom w:val="doub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284" w:hRule="atLeast"/>
          <w:jc w:val="center"/>
        </w:trPr>
        <w:tc>
          <w:tcPr>
            <w:tcW w:w="2459" w:type="dxa"/>
            <w:vAlign w:val="center"/>
          </w:tcPr>
          <w:p w14:paraId="159C24CD">
            <w:pPr>
              <w:pStyle w:val="4"/>
              <w:ind w:firstLine="0"/>
              <w:rPr>
                <w:rFonts w:ascii="Arial Narrow" w:hAnsi="Arial Narrow"/>
                <w:szCs w:val="21"/>
              </w:rPr>
            </w:pPr>
            <w:r>
              <w:rPr>
                <w:rFonts w:ascii="Arial Narrow" w:hAnsi="Arial Narrow"/>
                <w:szCs w:val="21"/>
              </w:rPr>
              <w:t>非流动负债</w:t>
            </w:r>
          </w:p>
        </w:tc>
        <w:tc>
          <w:tcPr>
            <w:tcW w:w="2087" w:type="dxa"/>
            <w:vAlign w:val="center"/>
          </w:tcPr>
          <w:p w14:paraId="223C7862">
            <w:pPr>
              <w:pStyle w:val="4"/>
              <w:ind w:firstLine="0"/>
              <w:jc w:val="right"/>
              <w:rPr>
                <w:rFonts w:ascii="Arial Narrow" w:hAnsi="Arial Narrow"/>
                <w:szCs w:val="21"/>
              </w:rPr>
            </w:pPr>
          </w:p>
        </w:tc>
        <w:tc>
          <w:tcPr>
            <w:tcW w:w="2087" w:type="dxa"/>
            <w:vAlign w:val="center"/>
          </w:tcPr>
          <w:p w14:paraId="04E30C04">
            <w:pPr>
              <w:pStyle w:val="4"/>
              <w:ind w:firstLine="0"/>
              <w:jc w:val="right"/>
              <w:rPr>
                <w:rFonts w:ascii="Arial Narrow" w:hAnsi="Arial Narrow"/>
                <w:szCs w:val="21"/>
              </w:rPr>
            </w:pPr>
          </w:p>
        </w:tc>
        <w:tc>
          <w:tcPr>
            <w:tcW w:w="2087" w:type="dxa"/>
            <w:vAlign w:val="center"/>
          </w:tcPr>
          <w:p w14:paraId="1550A2B6">
            <w:pPr>
              <w:pStyle w:val="4"/>
              <w:ind w:firstLine="0"/>
              <w:jc w:val="right"/>
              <w:rPr>
                <w:rFonts w:ascii="Arial Narrow" w:hAnsi="Arial Narrow"/>
                <w:szCs w:val="21"/>
              </w:rPr>
            </w:pPr>
          </w:p>
        </w:tc>
      </w:tr>
      <w:tr w14:paraId="4DE09AAB">
        <w:tblPrEx>
          <w:tblBorders>
            <w:top w:val="double" w:color="auto" w:sz="4" w:space="0"/>
            <w:left w:val="none" w:color="auto" w:sz="0" w:space="0"/>
            <w:bottom w:val="doub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284" w:hRule="atLeast"/>
          <w:jc w:val="center"/>
        </w:trPr>
        <w:tc>
          <w:tcPr>
            <w:tcW w:w="2459" w:type="dxa"/>
            <w:vAlign w:val="center"/>
          </w:tcPr>
          <w:p w14:paraId="0D9E90D2">
            <w:pPr>
              <w:pStyle w:val="4"/>
              <w:ind w:firstLine="0"/>
              <w:rPr>
                <w:rFonts w:ascii="Arial Narrow" w:hAnsi="Arial Narrow"/>
                <w:b/>
                <w:szCs w:val="21"/>
              </w:rPr>
            </w:pPr>
            <w:r>
              <w:rPr>
                <w:rFonts w:ascii="Arial Narrow" w:hAnsi="Arial Narrow"/>
                <w:b/>
                <w:szCs w:val="21"/>
              </w:rPr>
              <w:t>负债总计</w:t>
            </w:r>
          </w:p>
        </w:tc>
        <w:tc>
          <w:tcPr>
            <w:tcW w:w="2087" w:type="dxa"/>
            <w:vAlign w:val="center"/>
          </w:tcPr>
          <w:p w14:paraId="1726776C">
            <w:pPr>
              <w:pStyle w:val="4"/>
              <w:ind w:firstLine="0"/>
              <w:jc w:val="right"/>
              <w:rPr>
                <w:rFonts w:ascii="Arial Narrow" w:hAnsi="Arial Narrow"/>
                <w:szCs w:val="21"/>
              </w:rPr>
            </w:pPr>
            <w:r>
              <w:rPr>
                <w:rFonts w:hint="eastAsia" w:ascii="Arial Narrow" w:hAnsi="Arial Narrow"/>
                <w:szCs w:val="21"/>
              </w:rPr>
              <w:t>978.03</w:t>
            </w:r>
          </w:p>
        </w:tc>
        <w:tc>
          <w:tcPr>
            <w:tcW w:w="2087" w:type="dxa"/>
            <w:vAlign w:val="center"/>
          </w:tcPr>
          <w:p w14:paraId="39C02760">
            <w:pPr>
              <w:pStyle w:val="4"/>
              <w:ind w:firstLine="0"/>
              <w:jc w:val="right"/>
              <w:rPr>
                <w:rFonts w:ascii="Arial Narrow" w:hAnsi="Arial Narrow"/>
                <w:szCs w:val="21"/>
              </w:rPr>
            </w:pPr>
            <w:r>
              <w:rPr>
                <w:rFonts w:hint="eastAsia" w:ascii="Arial Narrow" w:hAnsi="Arial Narrow"/>
                <w:szCs w:val="21"/>
              </w:rPr>
              <w:t>696.83</w:t>
            </w:r>
          </w:p>
        </w:tc>
        <w:tc>
          <w:tcPr>
            <w:tcW w:w="2087" w:type="dxa"/>
            <w:vAlign w:val="center"/>
          </w:tcPr>
          <w:p w14:paraId="1BB3701C">
            <w:pPr>
              <w:pStyle w:val="4"/>
              <w:ind w:firstLine="0"/>
              <w:jc w:val="right"/>
              <w:rPr>
                <w:rFonts w:ascii="Arial Narrow" w:hAnsi="Arial Narrow"/>
                <w:szCs w:val="21"/>
              </w:rPr>
            </w:pPr>
            <w:r>
              <w:rPr>
                <w:rFonts w:hint="eastAsia" w:ascii="Arial Narrow" w:hAnsi="Arial Narrow"/>
                <w:szCs w:val="21"/>
              </w:rPr>
              <w:t>1060.02</w:t>
            </w:r>
          </w:p>
        </w:tc>
      </w:tr>
      <w:tr w14:paraId="33C3EA6B">
        <w:tblPrEx>
          <w:tblBorders>
            <w:top w:val="double" w:color="auto" w:sz="4" w:space="0"/>
            <w:left w:val="none" w:color="auto" w:sz="0" w:space="0"/>
            <w:bottom w:val="doub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284" w:hRule="atLeast"/>
          <w:jc w:val="center"/>
        </w:trPr>
        <w:tc>
          <w:tcPr>
            <w:tcW w:w="2459" w:type="dxa"/>
            <w:vAlign w:val="center"/>
          </w:tcPr>
          <w:p w14:paraId="3C9A6A50">
            <w:pPr>
              <w:pStyle w:val="4"/>
              <w:ind w:firstLine="0"/>
              <w:rPr>
                <w:rFonts w:ascii="Arial Narrow" w:hAnsi="Arial Narrow"/>
                <w:b/>
                <w:szCs w:val="21"/>
              </w:rPr>
            </w:pPr>
            <w:r>
              <w:rPr>
                <w:rFonts w:ascii="Arial Narrow" w:hAnsi="Arial Narrow"/>
                <w:b/>
                <w:szCs w:val="21"/>
              </w:rPr>
              <w:t>所有者权益</w:t>
            </w:r>
          </w:p>
        </w:tc>
        <w:tc>
          <w:tcPr>
            <w:tcW w:w="2087" w:type="dxa"/>
            <w:vAlign w:val="center"/>
          </w:tcPr>
          <w:p w14:paraId="0AED50E3">
            <w:pPr>
              <w:pStyle w:val="4"/>
              <w:ind w:firstLine="0"/>
              <w:jc w:val="right"/>
              <w:rPr>
                <w:rFonts w:ascii="Arial Narrow" w:hAnsi="Arial Narrow"/>
                <w:b/>
                <w:szCs w:val="21"/>
              </w:rPr>
            </w:pPr>
            <w:r>
              <w:rPr>
                <w:rFonts w:hint="eastAsia" w:ascii="Arial Narrow" w:hAnsi="Arial Narrow"/>
                <w:b/>
                <w:szCs w:val="21"/>
              </w:rPr>
              <w:t>943.33</w:t>
            </w:r>
          </w:p>
        </w:tc>
        <w:tc>
          <w:tcPr>
            <w:tcW w:w="2087" w:type="dxa"/>
            <w:vAlign w:val="center"/>
          </w:tcPr>
          <w:p w14:paraId="4D44D56D">
            <w:pPr>
              <w:pStyle w:val="4"/>
              <w:ind w:firstLine="0"/>
              <w:jc w:val="right"/>
              <w:rPr>
                <w:rFonts w:ascii="Arial Narrow" w:hAnsi="Arial Narrow"/>
                <w:b/>
                <w:szCs w:val="21"/>
              </w:rPr>
            </w:pPr>
            <w:r>
              <w:rPr>
                <w:rFonts w:hint="eastAsia" w:ascii="Arial Narrow" w:hAnsi="Arial Narrow"/>
                <w:b/>
                <w:szCs w:val="21"/>
              </w:rPr>
              <w:t>1016.05</w:t>
            </w:r>
          </w:p>
        </w:tc>
        <w:tc>
          <w:tcPr>
            <w:tcW w:w="2087" w:type="dxa"/>
            <w:vAlign w:val="center"/>
          </w:tcPr>
          <w:p w14:paraId="64BCA2F1">
            <w:pPr>
              <w:pStyle w:val="4"/>
              <w:ind w:firstLine="0"/>
              <w:jc w:val="right"/>
              <w:rPr>
                <w:rFonts w:ascii="Arial Narrow" w:hAnsi="Arial Narrow"/>
                <w:b/>
                <w:szCs w:val="21"/>
              </w:rPr>
            </w:pPr>
            <w:r>
              <w:rPr>
                <w:rFonts w:hint="eastAsia" w:ascii="Arial Narrow" w:hAnsi="Arial Narrow"/>
                <w:b/>
                <w:szCs w:val="21"/>
              </w:rPr>
              <w:t>1036.05</w:t>
            </w:r>
          </w:p>
        </w:tc>
      </w:tr>
    </w:tbl>
    <w:p w14:paraId="7E04CFCD">
      <w:pPr>
        <w:pStyle w:val="4"/>
        <w:ind w:firstLine="0"/>
        <w:jc w:val="center"/>
        <w:rPr>
          <w:rFonts w:ascii="Arial Narrow" w:hAnsi="Arial Narrow"/>
        </w:rPr>
      </w:pPr>
      <w:r>
        <w:rPr>
          <w:rFonts w:ascii="Arial Narrow" w:hAnsi="Arial Narrow"/>
        </w:rPr>
        <w:t>经营成果表</w:t>
      </w:r>
    </w:p>
    <w:p w14:paraId="19A4EFE0">
      <w:pPr>
        <w:pStyle w:val="4"/>
        <w:ind w:firstLineChars="200"/>
        <w:jc w:val="right"/>
        <w:rPr>
          <w:rFonts w:ascii="Arial Narrow" w:hAnsi="Arial Narrow"/>
          <w:szCs w:val="21"/>
        </w:rPr>
      </w:pPr>
      <w:r>
        <w:rPr>
          <w:rFonts w:ascii="Arial Narrow" w:hAnsi="Arial Narrow"/>
          <w:szCs w:val="21"/>
        </w:rPr>
        <w:t>金额单位：万元</w:t>
      </w:r>
    </w:p>
    <w:tbl>
      <w:tblPr>
        <w:tblStyle w:val="59"/>
        <w:tblW w:w="0" w:type="auto"/>
        <w:jc w:val="center"/>
        <w:tblBorders>
          <w:top w:val="double" w:color="auto" w:sz="4" w:space="0"/>
          <w:left w:val="none" w:color="auto" w:sz="0" w:space="0"/>
          <w:bottom w:val="double" w:color="auto" w:sz="4" w:space="0"/>
          <w:right w:val="none" w:color="auto" w:sz="0" w:space="0"/>
          <w:insideH w:val="single" w:color="auto" w:sz="4" w:space="0"/>
          <w:insideV w:val="single" w:color="auto" w:sz="4" w:space="0"/>
        </w:tblBorders>
        <w:tblLayout w:type="autofit"/>
        <w:tblCellMar>
          <w:top w:w="0" w:type="dxa"/>
          <w:left w:w="108" w:type="dxa"/>
          <w:bottom w:w="0" w:type="dxa"/>
          <w:right w:w="108" w:type="dxa"/>
        </w:tblCellMar>
      </w:tblPr>
      <w:tblGrid>
        <w:gridCol w:w="2459"/>
        <w:gridCol w:w="2087"/>
        <w:gridCol w:w="2087"/>
        <w:gridCol w:w="2087"/>
      </w:tblGrid>
      <w:tr w14:paraId="31B2AA4C">
        <w:tblPrEx>
          <w:tblBorders>
            <w:top w:val="double" w:color="auto" w:sz="4" w:space="0"/>
            <w:left w:val="none" w:color="auto" w:sz="0" w:space="0"/>
            <w:bottom w:val="doub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284" w:hRule="atLeast"/>
          <w:tblHeader/>
          <w:jc w:val="center"/>
        </w:trPr>
        <w:tc>
          <w:tcPr>
            <w:tcW w:w="2459" w:type="dxa"/>
            <w:tcBorders>
              <w:top w:val="double" w:color="auto" w:sz="4" w:space="0"/>
              <w:bottom w:val="single" w:color="auto" w:sz="4" w:space="0"/>
            </w:tcBorders>
          </w:tcPr>
          <w:p w14:paraId="6793165A">
            <w:pPr>
              <w:pStyle w:val="4"/>
              <w:ind w:firstLine="0"/>
              <w:jc w:val="center"/>
              <w:rPr>
                <w:rFonts w:ascii="Arial Narrow" w:hAnsi="Arial Narrow"/>
                <w:b/>
                <w:szCs w:val="21"/>
              </w:rPr>
            </w:pPr>
            <w:r>
              <w:rPr>
                <w:rFonts w:ascii="Arial Narrow" w:hAnsi="Arial Narrow"/>
                <w:b/>
                <w:szCs w:val="21"/>
              </w:rPr>
              <w:t>项目</w:t>
            </w:r>
          </w:p>
        </w:tc>
        <w:tc>
          <w:tcPr>
            <w:tcW w:w="2087" w:type="dxa"/>
            <w:tcBorders>
              <w:top w:val="double" w:color="auto" w:sz="4" w:space="0"/>
              <w:bottom w:val="single" w:color="auto" w:sz="4" w:space="0"/>
            </w:tcBorders>
          </w:tcPr>
          <w:p w14:paraId="10CD5A75">
            <w:pPr>
              <w:pStyle w:val="4"/>
              <w:ind w:firstLine="0"/>
              <w:jc w:val="center"/>
              <w:rPr>
                <w:rFonts w:hint="eastAsia" w:asciiTheme="minorEastAsia" w:hAnsiTheme="minorEastAsia" w:eastAsiaTheme="minorEastAsia"/>
                <w:b/>
                <w:szCs w:val="21"/>
              </w:rPr>
            </w:pPr>
            <w:r>
              <w:rPr>
                <w:rFonts w:asciiTheme="minorEastAsia" w:hAnsiTheme="minorEastAsia" w:eastAsiaTheme="minorEastAsia"/>
                <w:b/>
                <w:szCs w:val="21"/>
              </w:rPr>
              <w:t>202</w:t>
            </w:r>
            <w:r>
              <w:rPr>
                <w:rFonts w:hint="eastAsia" w:asciiTheme="minorEastAsia" w:hAnsiTheme="minorEastAsia" w:eastAsiaTheme="minorEastAsia"/>
                <w:b/>
                <w:szCs w:val="21"/>
              </w:rPr>
              <w:t>2</w:t>
            </w:r>
            <w:r>
              <w:rPr>
                <w:rFonts w:asciiTheme="minorEastAsia" w:hAnsiTheme="minorEastAsia" w:eastAsiaTheme="minorEastAsia"/>
                <w:b/>
                <w:szCs w:val="21"/>
              </w:rPr>
              <w:t>年</w:t>
            </w:r>
          </w:p>
        </w:tc>
        <w:tc>
          <w:tcPr>
            <w:tcW w:w="2087" w:type="dxa"/>
            <w:tcBorders>
              <w:top w:val="double" w:color="auto" w:sz="4" w:space="0"/>
              <w:bottom w:val="single" w:color="auto" w:sz="4" w:space="0"/>
            </w:tcBorders>
          </w:tcPr>
          <w:p w14:paraId="3113F33A">
            <w:pPr>
              <w:pStyle w:val="4"/>
              <w:ind w:firstLine="0"/>
              <w:jc w:val="center"/>
              <w:rPr>
                <w:rFonts w:hint="eastAsia" w:asciiTheme="minorEastAsia" w:hAnsiTheme="minorEastAsia" w:eastAsiaTheme="minorEastAsia"/>
                <w:b/>
                <w:szCs w:val="21"/>
              </w:rPr>
            </w:pPr>
            <w:r>
              <w:rPr>
                <w:rFonts w:asciiTheme="minorEastAsia" w:hAnsiTheme="minorEastAsia" w:eastAsiaTheme="minorEastAsia"/>
                <w:b/>
                <w:szCs w:val="21"/>
              </w:rPr>
              <w:t>202</w:t>
            </w:r>
            <w:r>
              <w:rPr>
                <w:rFonts w:hint="eastAsia" w:asciiTheme="minorEastAsia" w:hAnsiTheme="minorEastAsia" w:eastAsiaTheme="minorEastAsia"/>
                <w:b/>
                <w:szCs w:val="21"/>
              </w:rPr>
              <w:t>3</w:t>
            </w:r>
            <w:r>
              <w:rPr>
                <w:rFonts w:asciiTheme="minorEastAsia" w:hAnsiTheme="minorEastAsia" w:eastAsiaTheme="minorEastAsia"/>
                <w:b/>
                <w:szCs w:val="21"/>
              </w:rPr>
              <w:t>年</w:t>
            </w:r>
          </w:p>
        </w:tc>
        <w:tc>
          <w:tcPr>
            <w:tcW w:w="2087" w:type="dxa"/>
            <w:tcBorders>
              <w:top w:val="double" w:color="auto" w:sz="4" w:space="0"/>
              <w:bottom w:val="single" w:color="auto" w:sz="4" w:space="0"/>
            </w:tcBorders>
          </w:tcPr>
          <w:p w14:paraId="6566BECD">
            <w:pPr>
              <w:pStyle w:val="4"/>
              <w:ind w:firstLine="0"/>
              <w:jc w:val="center"/>
              <w:rPr>
                <w:rFonts w:hint="eastAsia" w:asciiTheme="minorEastAsia" w:hAnsiTheme="minorEastAsia" w:eastAsiaTheme="minorEastAsia"/>
                <w:b/>
                <w:szCs w:val="21"/>
              </w:rPr>
            </w:pPr>
            <w:r>
              <w:rPr>
                <w:rFonts w:asciiTheme="minorEastAsia" w:hAnsiTheme="minorEastAsia" w:eastAsiaTheme="minorEastAsia"/>
                <w:b/>
                <w:szCs w:val="21"/>
              </w:rPr>
              <w:t>202</w:t>
            </w:r>
            <w:r>
              <w:rPr>
                <w:rFonts w:hint="eastAsia" w:asciiTheme="minorEastAsia" w:hAnsiTheme="minorEastAsia" w:eastAsiaTheme="minorEastAsia"/>
                <w:b/>
                <w:szCs w:val="21"/>
              </w:rPr>
              <w:t>4</w:t>
            </w:r>
            <w:r>
              <w:rPr>
                <w:rFonts w:asciiTheme="minorEastAsia" w:hAnsiTheme="minorEastAsia" w:eastAsiaTheme="minorEastAsia"/>
                <w:b/>
                <w:szCs w:val="21"/>
              </w:rPr>
              <w:t>年</w:t>
            </w:r>
          </w:p>
        </w:tc>
      </w:tr>
      <w:tr w14:paraId="3DCC709D">
        <w:tblPrEx>
          <w:tblBorders>
            <w:top w:val="double" w:color="auto" w:sz="4" w:space="0"/>
            <w:left w:val="none" w:color="auto" w:sz="0" w:space="0"/>
            <w:bottom w:val="doub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284" w:hRule="atLeast"/>
          <w:jc w:val="center"/>
        </w:trPr>
        <w:tc>
          <w:tcPr>
            <w:tcW w:w="2459" w:type="dxa"/>
            <w:tcBorders>
              <w:top w:val="single" w:color="auto" w:sz="4" w:space="0"/>
            </w:tcBorders>
            <w:vAlign w:val="center"/>
          </w:tcPr>
          <w:p w14:paraId="2E3BE7B3">
            <w:pPr>
              <w:pStyle w:val="4"/>
              <w:ind w:firstLine="0"/>
              <w:rPr>
                <w:rFonts w:ascii="Arial Narrow" w:hAnsi="Arial Narrow"/>
                <w:szCs w:val="21"/>
              </w:rPr>
            </w:pPr>
            <w:r>
              <w:rPr>
                <w:rFonts w:ascii="Arial Narrow" w:hAnsi="Arial Narrow"/>
                <w:szCs w:val="21"/>
              </w:rPr>
              <w:t>一、营业收入</w:t>
            </w:r>
          </w:p>
        </w:tc>
        <w:tc>
          <w:tcPr>
            <w:tcW w:w="2087" w:type="dxa"/>
            <w:tcBorders>
              <w:top w:val="single" w:color="auto" w:sz="4" w:space="0"/>
            </w:tcBorders>
          </w:tcPr>
          <w:p w14:paraId="4B347972">
            <w:pPr>
              <w:pStyle w:val="4"/>
              <w:ind w:firstLine="0"/>
              <w:jc w:val="right"/>
              <w:rPr>
                <w:rFonts w:ascii="Arial Narrow" w:hAnsi="Arial Narrow"/>
                <w:szCs w:val="21"/>
              </w:rPr>
            </w:pPr>
            <w:r>
              <w:rPr>
                <w:rFonts w:ascii="Arial Narrow" w:hAnsi="Arial Narrow"/>
                <w:szCs w:val="21"/>
              </w:rPr>
              <w:t>295.76</w:t>
            </w:r>
          </w:p>
        </w:tc>
        <w:tc>
          <w:tcPr>
            <w:tcW w:w="2087" w:type="dxa"/>
            <w:tcBorders>
              <w:top w:val="single" w:color="auto" w:sz="4" w:space="0"/>
            </w:tcBorders>
          </w:tcPr>
          <w:p w14:paraId="3723E5D4">
            <w:pPr>
              <w:pStyle w:val="4"/>
              <w:ind w:firstLine="0"/>
              <w:jc w:val="right"/>
              <w:rPr>
                <w:rFonts w:ascii="Arial Narrow" w:hAnsi="Arial Narrow"/>
                <w:szCs w:val="21"/>
              </w:rPr>
            </w:pPr>
            <w:r>
              <w:rPr>
                <w:rFonts w:ascii="Arial Narrow" w:hAnsi="Arial Narrow"/>
                <w:szCs w:val="21"/>
              </w:rPr>
              <w:t>470.25</w:t>
            </w:r>
          </w:p>
        </w:tc>
        <w:tc>
          <w:tcPr>
            <w:tcW w:w="2087" w:type="dxa"/>
            <w:tcBorders>
              <w:top w:val="single" w:color="auto" w:sz="4" w:space="0"/>
            </w:tcBorders>
          </w:tcPr>
          <w:p w14:paraId="7734C091">
            <w:pPr>
              <w:pStyle w:val="4"/>
              <w:ind w:firstLine="0"/>
              <w:jc w:val="right"/>
              <w:rPr>
                <w:rFonts w:ascii="Arial Narrow" w:hAnsi="Arial Narrow"/>
                <w:szCs w:val="21"/>
              </w:rPr>
            </w:pPr>
            <w:r>
              <w:rPr>
                <w:rFonts w:ascii="Arial Narrow" w:hAnsi="Arial Narrow"/>
                <w:szCs w:val="21"/>
              </w:rPr>
              <w:t>423.01</w:t>
            </w:r>
          </w:p>
        </w:tc>
      </w:tr>
      <w:tr w14:paraId="325CD3DD">
        <w:tblPrEx>
          <w:tblBorders>
            <w:top w:val="double" w:color="auto" w:sz="4" w:space="0"/>
            <w:left w:val="none" w:color="auto" w:sz="0" w:space="0"/>
            <w:bottom w:val="doub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284" w:hRule="atLeast"/>
          <w:jc w:val="center"/>
        </w:trPr>
        <w:tc>
          <w:tcPr>
            <w:tcW w:w="2459" w:type="dxa"/>
            <w:tcBorders>
              <w:top w:val="single" w:color="auto" w:sz="4" w:space="0"/>
            </w:tcBorders>
            <w:vAlign w:val="center"/>
          </w:tcPr>
          <w:p w14:paraId="67090D47">
            <w:pPr>
              <w:pStyle w:val="4"/>
              <w:ind w:firstLine="0"/>
              <w:rPr>
                <w:rFonts w:ascii="Arial Narrow" w:hAnsi="Arial Narrow"/>
                <w:szCs w:val="21"/>
              </w:rPr>
            </w:pPr>
            <w:r>
              <w:rPr>
                <w:rFonts w:ascii="Arial Narrow" w:hAnsi="Arial Narrow"/>
                <w:szCs w:val="21"/>
              </w:rPr>
              <w:t>减：营业成本</w:t>
            </w:r>
          </w:p>
        </w:tc>
        <w:tc>
          <w:tcPr>
            <w:tcW w:w="2087" w:type="dxa"/>
            <w:tcBorders>
              <w:top w:val="single" w:color="auto" w:sz="4" w:space="0"/>
            </w:tcBorders>
          </w:tcPr>
          <w:p w14:paraId="614F3941">
            <w:pPr>
              <w:pStyle w:val="4"/>
              <w:ind w:firstLine="0"/>
              <w:jc w:val="right"/>
              <w:rPr>
                <w:rFonts w:ascii="Arial Narrow" w:hAnsi="Arial Narrow"/>
                <w:szCs w:val="21"/>
              </w:rPr>
            </w:pPr>
            <w:r>
              <w:rPr>
                <w:rFonts w:ascii="Arial Narrow" w:hAnsi="Arial Narrow"/>
                <w:szCs w:val="21"/>
              </w:rPr>
              <w:t>968.35</w:t>
            </w:r>
          </w:p>
        </w:tc>
        <w:tc>
          <w:tcPr>
            <w:tcW w:w="2087" w:type="dxa"/>
            <w:tcBorders>
              <w:top w:val="single" w:color="auto" w:sz="4" w:space="0"/>
            </w:tcBorders>
          </w:tcPr>
          <w:p w14:paraId="375451FF">
            <w:pPr>
              <w:pStyle w:val="4"/>
              <w:ind w:firstLine="0"/>
              <w:jc w:val="right"/>
              <w:rPr>
                <w:rFonts w:ascii="Arial Narrow" w:hAnsi="Arial Narrow"/>
                <w:szCs w:val="21"/>
              </w:rPr>
            </w:pPr>
            <w:r>
              <w:rPr>
                <w:rFonts w:ascii="Arial Narrow" w:hAnsi="Arial Narrow"/>
                <w:szCs w:val="21"/>
              </w:rPr>
              <w:t>1088.17</w:t>
            </w:r>
          </w:p>
        </w:tc>
        <w:tc>
          <w:tcPr>
            <w:tcW w:w="2087" w:type="dxa"/>
            <w:tcBorders>
              <w:top w:val="single" w:color="auto" w:sz="4" w:space="0"/>
            </w:tcBorders>
          </w:tcPr>
          <w:p w14:paraId="38DA863E">
            <w:pPr>
              <w:pStyle w:val="4"/>
              <w:ind w:firstLine="0"/>
              <w:jc w:val="right"/>
              <w:rPr>
                <w:rFonts w:ascii="Arial Narrow" w:hAnsi="Arial Narrow"/>
                <w:szCs w:val="21"/>
              </w:rPr>
            </w:pPr>
            <w:r>
              <w:rPr>
                <w:rFonts w:ascii="Arial Narrow" w:hAnsi="Arial Narrow"/>
                <w:szCs w:val="21"/>
              </w:rPr>
              <w:t>1201.81</w:t>
            </w:r>
          </w:p>
        </w:tc>
      </w:tr>
      <w:tr w14:paraId="67FA3B3B">
        <w:tblPrEx>
          <w:tblBorders>
            <w:top w:val="double" w:color="auto" w:sz="4" w:space="0"/>
            <w:left w:val="none" w:color="auto" w:sz="0" w:space="0"/>
            <w:bottom w:val="doub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284" w:hRule="atLeast"/>
          <w:jc w:val="center"/>
        </w:trPr>
        <w:tc>
          <w:tcPr>
            <w:tcW w:w="2459" w:type="dxa"/>
            <w:tcBorders>
              <w:top w:val="single" w:color="auto" w:sz="4" w:space="0"/>
            </w:tcBorders>
            <w:vAlign w:val="center"/>
          </w:tcPr>
          <w:p w14:paraId="2E3888DF">
            <w:pPr>
              <w:pStyle w:val="4"/>
              <w:ind w:firstLineChars="200"/>
              <w:rPr>
                <w:rFonts w:ascii="Arial Narrow" w:hAnsi="Arial Narrow"/>
                <w:szCs w:val="21"/>
              </w:rPr>
            </w:pPr>
            <w:r>
              <w:rPr>
                <w:rFonts w:ascii="Arial Narrow" w:hAnsi="Arial Narrow"/>
                <w:szCs w:val="21"/>
              </w:rPr>
              <w:t>营业税金及附加</w:t>
            </w:r>
          </w:p>
        </w:tc>
        <w:tc>
          <w:tcPr>
            <w:tcW w:w="2087" w:type="dxa"/>
            <w:tcBorders>
              <w:top w:val="single" w:color="auto" w:sz="4" w:space="0"/>
            </w:tcBorders>
          </w:tcPr>
          <w:p w14:paraId="49E7A6B5">
            <w:pPr>
              <w:pStyle w:val="4"/>
              <w:ind w:firstLine="0"/>
              <w:jc w:val="right"/>
              <w:rPr>
                <w:rFonts w:ascii="Arial Narrow" w:hAnsi="Arial Narrow"/>
                <w:szCs w:val="21"/>
              </w:rPr>
            </w:pPr>
            <w:r>
              <w:rPr>
                <w:rFonts w:ascii="Arial Narrow" w:hAnsi="Arial Narrow"/>
                <w:szCs w:val="21"/>
              </w:rPr>
              <w:t>0.77</w:t>
            </w:r>
          </w:p>
        </w:tc>
        <w:tc>
          <w:tcPr>
            <w:tcW w:w="2087" w:type="dxa"/>
            <w:tcBorders>
              <w:top w:val="single" w:color="auto" w:sz="4" w:space="0"/>
            </w:tcBorders>
          </w:tcPr>
          <w:p w14:paraId="56F34379">
            <w:pPr>
              <w:pStyle w:val="4"/>
              <w:ind w:firstLine="0"/>
              <w:jc w:val="right"/>
              <w:rPr>
                <w:rFonts w:ascii="Arial Narrow" w:hAnsi="Arial Narrow"/>
                <w:szCs w:val="21"/>
              </w:rPr>
            </w:pPr>
            <w:r>
              <w:rPr>
                <w:rFonts w:ascii="Arial Narrow" w:hAnsi="Arial Narrow"/>
                <w:szCs w:val="21"/>
              </w:rPr>
              <w:t>0.20</w:t>
            </w:r>
          </w:p>
        </w:tc>
        <w:tc>
          <w:tcPr>
            <w:tcW w:w="2087" w:type="dxa"/>
            <w:tcBorders>
              <w:top w:val="single" w:color="auto" w:sz="4" w:space="0"/>
            </w:tcBorders>
          </w:tcPr>
          <w:p w14:paraId="4D704B01">
            <w:pPr>
              <w:pStyle w:val="4"/>
              <w:ind w:firstLine="0"/>
              <w:jc w:val="right"/>
              <w:rPr>
                <w:rFonts w:ascii="Arial Narrow" w:hAnsi="Arial Narrow"/>
                <w:szCs w:val="21"/>
              </w:rPr>
            </w:pPr>
            <w:r>
              <w:rPr>
                <w:rFonts w:ascii="Arial Narrow" w:hAnsi="Arial Narrow"/>
                <w:szCs w:val="21"/>
              </w:rPr>
              <w:t>0.12</w:t>
            </w:r>
          </w:p>
        </w:tc>
      </w:tr>
      <w:tr w14:paraId="129ECE1B">
        <w:tblPrEx>
          <w:tblBorders>
            <w:top w:val="double" w:color="auto" w:sz="4" w:space="0"/>
            <w:left w:val="none" w:color="auto" w:sz="0" w:space="0"/>
            <w:bottom w:val="doub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284" w:hRule="atLeast"/>
          <w:jc w:val="center"/>
        </w:trPr>
        <w:tc>
          <w:tcPr>
            <w:tcW w:w="2459" w:type="dxa"/>
            <w:tcBorders>
              <w:top w:val="single" w:color="auto" w:sz="4" w:space="0"/>
            </w:tcBorders>
            <w:vAlign w:val="center"/>
          </w:tcPr>
          <w:p w14:paraId="05BF266C">
            <w:pPr>
              <w:pStyle w:val="4"/>
              <w:ind w:firstLineChars="200"/>
              <w:rPr>
                <w:rFonts w:ascii="Arial Narrow" w:hAnsi="Arial Narrow"/>
                <w:szCs w:val="21"/>
              </w:rPr>
            </w:pPr>
            <w:r>
              <w:rPr>
                <w:rFonts w:ascii="Arial Narrow" w:hAnsi="Arial Narrow"/>
                <w:szCs w:val="21"/>
              </w:rPr>
              <w:t>销售费用</w:t>
            </w:r>
          </w:p>
        </w:tc>
        <w:tc>
          <w:tcPr>
            <w:tcW w:w="2087" w:type="dxa"/>
            <w:tcBorders>
              <w:top w:val="single" w:color="auto" w:sz="4" w:space="0"/>
            </w:tcBorders>
          </w:tcPr>
          <w:p w14:paraId="1131A480">
            <w:pPr>
              <w:pStyle w:val="4"/>
              <w:ind w:firstLine="0"/>
              <w:jc w:val="right"/>
              <w:rPr>
                <w:rFonts w:ascii="Arial Narrow" w:hAnsi="Arial Narrow"/>
                <w:szCs w:val="21"/>
              </w:rPr>
            </w:pPr>
          </w:p>
        </w:tc>
        <w:tc>
          <w:tcPr>
            <w:tcW w:w="2087" w:type="dxa"/>
            <w:tcBorders>
              <w:top w:val="single" w:color="auto" w:sz="4" w:space="0"/>
            </w:tcBorders>
          </w:tcPr>
          <w:p w14:paraId="38807CDF">
            <w:pPr>
              <w:pStyle w:val="4"/>
              <w:ind w:firstLine="0"/>
              <w:jc w:val="right"/>
              <w:rPr>
                <w:rFonts w:ascii="Arial Narrow" w:hAnsi="Arial Narrow"/>
                <w:szCs w:val="21"/>
              </w:rPr>
            </w:pPr>
          </w:p>
        </w:tc>
        <w:tc>
          <w:tcPr>
            <w:tcW w:w="2087" w:type="dxa"/>
            <w:tcBorders>
              <w:top w:val="single" w:color="auto" w:sz="4" w:space="0"/>
            </w:tcBorders>
          </w:tcPr>
          <w:p w14:paraId="34433D98">
            <w:pPr>
              <w:pStyle w:val="4"/>
              <w:ind w:firstLine="0"/>
              <w:jc w:val="right"/>
              <w:rPr>
                <w:rFonts w:ascii="Arial Narrow" w:hAnsi="Arial Narrow"/>
                <w:szCs w:val="21"/>
              </w:rPr>
            </w:pPr>
          </w:p>
        </w:tc>
      </w:tr>
      <w:tr w14:paraId="0FCD6F9B">
        <w:tblPrEx>
          <w:tblBorders>
            <w:top w:val="double" w:color="auto" w:sz="4" w:space="0"/>
            <w:left w:val="none" w:color="auto" w:sz="0" w:space="0"/>
            <w:bottom w:val="doub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284" w:hRule="atLeast"/>
          <w:jc w:val="center"/>
        </w:trPr>
        <w:tc>
          <w:tcPr>
            <w:tcW w:w="2459" w:type="dxa"/>
            <w:tcBorders>
              <w:top w:val="single" w:color="auto" w:sz="4" w:space="0"/>
            </w:tcBorders>
            <w:vAlign w:val="center"/>
          </w:tcPr>
          <w:p w14:paraId="7155AC23">
            <w:pPr>
              <w:pStyle w:val="4"/>
              <w:ind w:firstLineChars="200"/>
              <w:rPr>
                <w:rFonts w:ascii="Arial Narrow" w:hAnsi="Arial Narrow"/>
                <w:szCs w:val="21"/>
              </w:rPr>
            </w:pPr>
            <w:r>
              <w:rPr>
                <w:rFonts w:ascii="Arial Narrow" w:hAnsi="Arial Narrow"/>
                <w:szCs w:val="21"/>
              </w:rPr>
              <w:t>管理费用</w:t>
            </w:r>
          </w:p>
        </w:tc>
        <w:tc>
          <w:tcPr>
            <w:tcW w:w="2087" w:type="dxa"/>
            <w:tcBorders>
              <w:top w:val="single" w:color="auto" w:sz="4" w:space="0"/>
            </w:tcBorders>
            <w:vAlign w:val="center"/>
          </w:tcPr>
          <w:p w14:paraId="7EB99BBE">
            <w:pPr>
              <w:pStyle w:val="4"/>
              <w:ind w:firstLine="0"/>
              <w:jc w:val="right"/>
              <w:rPr>
                <w:rFonts w:ascii="Arial Narrow" w:hAnsi="Arial Narrow"/>
                <w:szCs w:val="21"/>
              </w:rPr>
            </w:pPr>
            <w:r>
              <w:rPr>
                <w:rFonts w:ascii="Arial Narrow" w:hAnsi="Arial Narrow"/>
                <w:szCs w:val="21"/>
              </w:rPr>
              <w:t>18.97</w:t>
            </w:r>
          </w:p>
        </w:tc>
        <w:tc>
          <w:tcPr>
            <w:tcW w:w="2087" w:type="dxa"/>
            <w:tcBorders>
              <w:top w:val="single" w:color="auto" w:sz="4" w:space="0"/>
            </w:tcBorders>
            <w:vAlign w:val="center"/>
          </w:tcPr>
          <w:p w14:paraId="3198D0EB">
            <w:pPr>
              <w:pStyle w:val="4"/>
              <w:ind w:firstLine="0"/>
              <w:jc w:val="right"/>
              <w:rPr>
                <w:rFonts w:ascii="Arial Narrow" w:hAnsi="Arial Narrow"/>
                <w:szCs w:val="21"/>
              </w:rPr>
            </w:pPr>
            <w:r>
              <w:rPr>
                <w:rFonts w:ascii="Arial Narrow" w:hAnsi="Arial Narrow"/>
                <w:szCs w:val="21"/>
              </w:rPr>
              <w:t>15.50</w:t>
            </w:r>
          </w:p>
        </w:tc>
        <w:tc>
          <w:tcPr>
            <w:tcW w:w="2087" w:type="dxa"/>
            <w:tcBorders>
              <w:top w:val="single" w:color="auto" w:sz="4" w:space="0"/>
            </w:tcBorders>
            <w:vAlign w:val="center"/>
          </w:tcPr>
          <w:p w14:paraId="4E939BD1">
            <w:pPr>
              <w:pStyle w:val="4"/>
              <w:ind w:firstLine="0"/>
              <w:jc w:val="right"/>
              <w:rPr>
                <w:rFonts w:ascii="Arial Narrow" w:hAnsi="Arial Narrow"/>
                <w:szCs w:val="21"/>
              </w:rPr>
            </w:pPr>
            <w:r>
              <w:rPr>
                <w:rFonts w:ascii="Arial Narrow" w:hAnsi="Arial Narrow"/>
                <w:szCs w:val="21"/>
              </w:rPr>
              <w:t>15.48</w:t>
            </w:r>
          </w:p>
        </w:tc>
      </w:tr>
      <w:tr w14:paraId="76719B65">
        <w:tblPrEx>
          <w:tblBorders>
            <w:top w:val="double" w:color="auto" w:sz="4" w:space="0"/>
            <w:left w:val="none" w:color="auto" w:sz="0" w:space="0"/>
            <w:bottom w:val="doub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284" w:hRule="atLeast"/>
          <w:jc w:val="center"/>
        </w:trPr>
        <w:tc>
          <w:tcPr>
            <w:tcW w:w="2459" w:type="dxa"/>
            <w:tcBorders>
              <w:top w:val="single" w:color="auto" w:sz="4" w:space="0"/>
            </w:tcBorders>
            <w:vAlign w:val="center"/>
          </w:tcPr>
          <w:p w14:paraId="573F3625">
            <w:pPr>
              <w:pStyle w:val="4"/>
              <w:ind w:firstLineChars="200"/>
              <w:rPr>
                <w:rFonts w:ascii="Arial Narrow" w:hAnsi="Arial Narrow"/>
                <w:szCs w:val="21"/>
              </w:rPr>
            </w:pPr>
            <w:r>
              <w:rPr>
                <w:rFonts w:ascii="Arial Narrow" w:hAnsi="Arial Narrow"/>
                <w:szCs w:val="21"/>
              </w:rPr>
              <w:t>财务费用</w:t>
            </w:r>
          </w:p>
        </w:tc>
        <w:tc>
          <w:tcPr>
            <w:tcW w:w="2087" w:type="dxa"/>
            <w:tcBorders>
              <w:top w:val="single" w:color="auto" w:sz="4" w:space="0"/>
            </w:tcBorders>
          </w:tcPr>
          <w:p w14:paraId="2F0D030F">
            <w:pPr>
              <w:pStyle w:val="4"/>
              <w:ind w:firstLine="0"/>
              <w:jc w:val="right"/>
              <w:rPr>
                <w:rFonts w:ascii="Arial Narrow" w:hAnsi="Arial Narrow"/>
                <w:szCs w:val="21"/>
              </w:rPr>
            </w:pPr>
            <w:r>
              <w:rPr>
                <w:rFonts w:ascii="Arial Narrow" w:hAnsi="Arial Narrow"/>
                <w:szCs w:val="21"/>
              </w:rPr>
              <w:t>-0.28</w:t>
            </w:r>
          </w:p>
        </w:tc>
        <w:tc>
          <w:tcPr>
            <w:tcW w:w="2087" w:type="dxa"/>
            <w:tcBorders>
              <w:top w:val="single" w:color="auto" w:sz="4" w:space="0"/>
            </w:tcBorders>
          </w:tcPr>
          <w:p w14:paraId="213B1338">
            <w:pPr>
              <w:pStyle w:val="4"/>
              <w:ind w:firstLine="0"/>
              <w:jc w:val="right"/>
              <w:rPr>
                <w:rFonts w:ascii="Arial Narrow" w:hAnsi="Arial Narrow"/>
                <w:szCs w:val="21"/>
              </w:rPr>
            </w:pPr>
            <w:r>
              <w:rPr>
                <w:rFonts w:ascii="Arial Narrow" w:hAnsi="Arial Narrow"/>
                <w:szCs w:val="21"/>
              </w:rPr>
              <w:t>0.23</w:t>
            </w:r>
          </w:p>
        </w:tc>
        <w:tc>
          <w:tcPr>
            <w:tcW w:w="2087" w:type="dxa"/>
            <w:tcBorders>
              <w:top w:val="single" w:color="auto" w:sz="4" w:space="0"/>
            </w:tcBorders>
          </w:tcPr>
          <w:p w14:paraId="725D0ABB">
            <w:pPr>
              <w:pStyle w:val="4"/>
              <w:ind w:firstLine="0"/>
              <w:jc w:val="right"/>
              <w:rPr>
                <w:rFonts w:ascii="Arial Narrow" w:hAnsi="Arial Narrow"/>
                <w:szCs w:val="21"/>
              </w:rPr>
            </w:pPr>
            <w:r>
              <w:rPr>
                <w:rFonts w:ascii="Arial Narrow" w:hAnsi="Arial Narrow"/>
                <w:szCs w:val="21"/>
              </w:rPr>
              <w:t>0.51</w:t>
            </w:r>
          </w:p>
        </w:tc>
      </w:tr>
      <w:tr w14:paraId="0B2374C7">
        <w:tblPrEx>
          <w:tblBorders>
            <w:top w:val="double" w:color="auto" w:sz="4" w:space="0"/>
            <w:left w:val="none" w:color="auto" w:sz="0" w:space="0"/>
            <w:bottom w:val="doub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284" w:hRule="atLeast"/>
          <w:jc w:val="center"/>
        </w:trPr>
        <w:tc>
          <w:tcPr>
            <w:tcW w:w="2459" w:type="dxa"/>
            <w:tcBorders>
              <w:top w:val="single" w:color="auto" w:sz="4" w:space="0"/>
            </w:tcBorders>
            <w:vAlign w:val="center"/>
          </w:tcPr>
          <w:p w14:paraId="7F636E72">
            <w:pPr>
              <w:pStyle w:val="4"/>
              <w:ind w:firstLineChars="200"/>
              <w:rPr>
                <w:rFonts w:ascii="Arial Narrow" w:hAnsi="Arial Narrow"/>
                <w:szCs w:val="21"/>
              </w:rPr>
            </w:pPr>
            <w:r>
              <w:rPr>
                <w:rFonts w:ascii="Arial Narrow" w:hAnsi="Arial Narrow"/>
                <w:szCs w:val="21"/>
              </w:rPr>
              <w:t>资产减值损失</w:t>
            </w:r>
          </w:p>
        </w:tc>
        <w:tc>
          <w:tcPr>
            <w:tcW w:w="2087" w:type="dxa"/>
            <w:tcBorders>
              <w:top w:val="single" w:color="auto" w:sz="4" w:space="0"/>
            </w:tcBorders>
            <w:vAlign w:val="center"/>
          </w:tcPr>
          <w:p w14:paraId="2490F5E4">
            <w:pPr>
              <w:pStyle w:val="4"/>
              <w:ind w:firstLine="0"/>
              <w:jc w:val="right"/>
              <w:rPr>
                <w:rFonts w:ascii="Arial Narrow" w:hAnsi="Arial Narrow"/>
                <w:szCs w:val="21"/>
              </w:rPr>
            </w:pPr>
            <w:r>
              <w:rPr>
                <w:rFonts w:ascii="Arial Narrow" w:hAnsi="Arial Narrow"/>
                <w:szCs w:val="21"/>
              </w:rPr>
              <w:t>-7.90</w:t>
            </w:r>
          </w:p>
        </w:tc>
        <w:tc>
          <w:tcPr>
            <w:tcW w:w="2087" w:type="dxa"/>
            <w:tcBorders>
              <w:top w:val="single" w:color="auto" w:sz="4" w:space="0"/>
            </w:tcBorders>
            <w:vAlign w:val="center"/>
          </w:tcPr>
          <w:p w14:paraId="6835E3A6">
            <w:pPr>
              <w:pStyle w:val="4"/>
              <w:ind w:firstLine="0"/>
              <w:jc w:val="right"/>
              <w:rPr>
                <w:rFonts w:ascii="Arial Narrow" w:hAnsi="Arial Narrow"/>
                <w:szCs w:val="21"/>
              </w:rPr>
            </w:pPr>
            <w:r>
              <w:rPr>
                <w:rFonts w:ascii="Arial Narrow" w:hAnsi="Arial Narrow"/>
                <w:szCs w:val="21"/>
              </w:rPr>
              <w:t>-20.83</w:t>
            </w:r>
          </w:p>
        </w:tc>
        <w:tc>
          <w:tcPr>
            <w:tcW w:w="2087" w:type="dxa"/>
            <w:tcBorders>
              <w:top w:val="single" w:color="auto" w:sz="4" w:space="0"/>
            </w:tcBorders>
            <w:vAlign w:val="center"/>
          </w:tcPr>
          <w:p w14:paraId="766B3D81">
            <w:pPr>
              <w:pStyle w:val="4"/>
              <w:ind w:firstLine="0"/>
              <w:jc w:val="right"/>
              <w:rPr>
                <w:rFonts w:ascii="Arial Narrow" w:hAnsi="Arial Narrow"/>
                <w:szCs w:val="21"/>
              </w:rPr>
            </w:pPr>
            <w:r>
              <w:rPr>
                <w:rFonts w:ascii="Arial Narrow" w:hAnsi="Arial Narrow"/>
                <w:szCs w:val="21"/>
              </w:rPr>
              <w:t>-52.23</w:t>
            </w:r>
          </w:p>
        </w:tc>
      </w:tr>
      <w:tr w14:paraId="337295B7">
        <w:tblPrEx>
          <w:tblBorders>
            <w:top w:val="double" w:color="auto" w:sz="4" w:space="0"/>
            <w:left w:val="none" w:color="auto" w:sz="0" w:space="0"/>
            <w:bottom w:val="doub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284" w:hRule="atLeast"/>
          <w:jc w:val="center"/>
        </w:trPr>
        <w:tc>
          <w:tcPr>
            <w:tcW w:w="2459" w:type="dxa"/>
            <w:tcBorders>
              <w:top w:val="single" w:color="auto" w:sz="4" w:space="0"/>
            </w:tcBorders>
            <w:vAlign w:val="center"/>
          </w:tcPr>
          <w:p w14:paraId="6A43B3F5">
            <w:pPr>
              <w:pStyle w:val="4"/>
              <w:ind w:firstLine="0"/>
              <w:rPr>
                <w:rFonts w:ascii="Arial Narrow" w:hAnsi="Arial Narrow"/>
                <w:szCs w:val="21"/>
              </w:rPr>
            </w:pPr>
            <w:r>
              <w:rPr>
                <w:rFonts w:ascii="Arial Narrow" w:hAnsi="Arial Narrow"/>
                <w:szCs w:val="21"/>
              </w:rPr>
              <w:t>加：</w:t>
            </w:r>
            <w:r>
              <w:rPr>
                <w:rFonts w:hint="eastAsia" w:ascii="Arial Narrow" w:hAnsi="Arial Narrow"/>
                <w:szCs w:val="21"/>
              </w:rPr>
              <w:t>其他</w:t>
            </w:r>
            <w:r>
              <w:rPr>
                <w:rFonts w:ascii="Arial Narrow" w:hAnsi="Arial Narrow"/>
                <w:szCs w:val="21"/>
              </w:rPr>
              <w:t>收益</w:t>
            </w:r>
          </w:p>
        </w:tc>
        <w:tc>
          <w:tcPr>
            <w:tcW w:w="2087" w:type="dxa"/>
            <w:tcBorders>
              <w:top w:val="single" w:color="auto" w:sz="4" w:space="0"/>
            </w:tcBorders>
          </w:tcPr>
          <w:p w14:paraId="425BAAA6">
            <w:pPr>
              <w:pStyle w:val="4"/>
              <w:ind w:firstLine="0"/>
              <w:jc w:val="right"/>
              <w:rPr>
                <w:rFonts w:ascii="Arial Narrow" w:hAnsi="Arial Narrow"/>
                <w:szCs w:val="21"/>
              </w:rPr>
            </w:pPr>
            <w:r>
              <w:rPr>
                <w:rFonts w:ascii="Arial Narrow" w:hAnsi="Arial Narrow"/>
                <w:szCs w:val="21"/>
              </w:rPr>
              <w:t>761.19</w:t>
            </w:r>
          </w:p>
        </w:tc>
        <w:tc>
          <w:tcPr>
            <w:tcW w:w="2087" w:type="dxa"/>
            <w:tcBorders>
              <w:top w:val="single" w:color="auto" w:sz="4" w:space="0"/>
            </w:tcBorders>
          </w:tcPr>
          <w:p w14:paraId="51AE8AAE">
            <w:pPr>
              <w:pStyle w:val="4"/>
              <w:ind w:firstLine="0"/>
              <w:jc w:val="right"/>
              <w:rPr>
                <w:rFonts w:ascii="Arial Narrow" w:hAnsi="Arial Narrow"/>
                <w:szCs w:val="21"/>
              </w:rPr>
            </w:pPr>
            <w:r>
              <w:rPr>
                <w:rFonts w:ascii="Arial Narrow" w:hAnsi="Arial Narrow"/>
                <w:szCs w:val="21"/>
              </w:rPr>
              <w:t>724.72</w:t>
            </w:r>
          </w:p>
        </w:tc>
        <w:tc>
          <w:tcPr>
            <w:tcW w:w="2087" w:type="dxa"/>
            <w:tcBorders>
              <w:top w:val="single" w:color="auto" w:sz="4" w:space="0"/>
            </w:tcBorders>
          </w:tcPr>
          <w:p w14:paraId="300B1006">
            <w:pPr>
              <w:pStyle w:val="4"/>
              <w:ind w:firstLine="0"/>
              <w:jc w:val="right"/>
              <w:rPr>
                <w:rFonts w:ascii="Arial Narrow" w:hAnsi="Arial Narrow"/>
                <w:szCs w:val="21"/>
              </w:rPr>
            </w:pPr>
            <w:r>
              <w:rPr>
                <w:rFonts w:ascii="Arial Narrow" w:hAnsi="Arial Narrow"/>
                <w:szCs w:val="21"/>
              </w:rPr>
              <w:t>854.60</w:t>
            </w:r>
          </w:p>
        </w:tc>
      </w:tr>
      <w:tr w14:paraId="46F0D286">
        <w:tblPrEx>
          <w:tblBorders>
            <w:top w:val="double" w:color="auto" w:sz="4" w:space="0"/>
            <w:left w:val="none" w:color="auto" w:sz="0" w:space="0"/>
            <w:bottom w:val="doub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284" w:hRule="atLeast"/>
          <w:jc w:val="center"/>
        </w:trPr>
        <w:tc>
          <w:tcPr>
            <w:tcW w:w="2459" w:type="dxa"/>
            <w:tcBorders>
              <w:top w:val="single" w:color="auto" w:sz="4" w:space="0"/>
            </w:tcBorders>
            <w:vAlign w:val="center"/>
          </w:tcPr>
          <w:p w14:paraId="4DE657A9">
            <w:pPr>
              <w:pStyle w:val="4"/>
              <w:ind w:firstLine="0"/>
              <w:rPr>
                <w:rFonts w:ascii="Arial Narrow" w:hAnsi="Arial Narrow"/>
                <w:szCs w:val="21"/>
              </w:rPr>
            </w:pPr>
            <w:r>
              <w:rPr>
                <w:rFonts w:ascii="Arial Narrow" w:hAnsi="Arial Narrow"/>
                <w:szCs w:val="21"/>
              </w:rPr>
              <w:t>二、营业利润</w:t>
            </w:r>
          </w:p>
        </w:tc>
        <w:tc>
          <w:tcPr>
            <w:tcW w:w="2087" w:type="dxa"/>
            <w:tcBorders>
              <w:top w:val="single" w:color="auto" w:sz="4" w:space="0"/>
            </w:tcBorders>
          </w:tcPr>
          <w:p w14:paraId="18BDC17E">
            <w:pPr>
              <w:pStyle w:val="4"/>
              <w:ind w:firstLine="0"/>
              <w:jc w:val="right"/>
              <w:rPr>
                <w:rFonts w:ascii="Arial Narrow" w:hAnsi="Arial Narrow"/>
                <w:szCs w:val="21"/>
              </w:rPr>
            </w:pPr>
            <w:r>
              <w:rPr>
                <w:rFonts w:ascii="Arial Narrow" w:hAnsi="Arial Narrow"/>
                <w:szCs w:val="21"/>
              </w:rPr>
              <w:t>61.24</w:t>
            </w:r>
          </w:p>
        </w:tc>
        <w:tc>
          <w:tcPr>
            <w:tcW w:w="2087" w:type="dxa"/>
            <w:tcBorders>
              <w:top w:val="single" w:color="auto" w:sz="4" w:space="0"/>
            </w:tcBorders>
          </w:tcPr>
          <w:p w14:paraId="42B4C31C">
            <w:pPr>
              <w:pStyle w:val="4"/>
              <w:ind w:firstLine="0"/>
              <w:jc w:val="right"/>
              <w:rPr>
                <w:rFonts w:ascii="Arial Narrow" w:hAnsi="Arial Narrow"/>
                <w:szCs w:val="21"/>
              </w:rPr>
            </w:pPr>
            <w:r>
              <w:rPr>
                <w:rFonts w:ascii="Arial Narrow" w:hAnsi="Arial Narrow"/>
                <w:szCs w:val="21"/>
              </w:rPr>
              <w:t>70.03</w:t>
            </w:r>
          </w:p>
        </w:tc>
        <w:tc>
          <w:tcPr>
            <w:tcW w:w="2087" w:type="dxa"/>
            <w:tcBorders>
              <w:top w:val="single" w:color="auto" w:sz="4" w:space="0"/>
            </w:tcBorders>
          </w:tcPr>
          <w:p w14:paraId="2BADD5D3">
            <w:pPr>
              <w:pStyle w:val="4"/>
              <w:ind w:firstLine="0"/>
              <w:jc w:val="right"/>
              <w:rPr>
                <w:rFonts w:ascii="Arial Narrow" w:hAnsi="Arial Narrow"/>
                <w:szCs w:val="21"/>
              </w:rPr>
            </w:pPr>
            <w:r>
              <w:rPr>
                <w:rFonts w:ascii="Arial Narrow" w:hAnsi="Arial Narrow"/>
                <w:szCs w:val="21"/>
              </w:rPr>
              <w:t>7.47</w:t>
            </w:r>
          </w:p>
        </w:tc>
      </w:tr>
      <w:tr w14:paraId="6E8B885A">
        <w:tblPrEx>
          <w:tblBorders>
            <w:top w:val="double" w:color="auto" w:sz="4" w:space="0"/>
            <w:left w:val="none" w:color="auto" w:sz="0" w:space="0"/>
            <w:bottom w:val="doub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284" w:hRule="atLeast"/>
          <w:jc w:val="center"/>
        </w:trPr>
        <w:tc>
          <w:tcPr>
            <w:tcW w:w="2459" w:type="dxa"/>
            <w:tcBorders>
              <w:top w:val="single" w:color="auto" w:sz="4" w:space="0"/>
            </w:tcBorders>
            <w:vAlign w:val="center"/>
          </w:tcPr>
          <w:p w14:paraId="1FC9347A">
            <w:pPr>
              <w:pStyle w:val="4"/>
              <w:ind w:firstLine="0"/>
              <w:rPr>
                <w:rFonts w:ascii="Arial Narrow" w:hAnsi="Arial Narrow"/>
                <w:szCs w:val="21"/>
              </w:rPr>
            </w:pPr>
            <w:r>
              <w:rPr>
                <w:rFonts w:ascii="Arial Narrow" w:hAnsi="Arial Narrow"/>
                <w:szCs w:val="21"/>
              </w:rPr>
              <w:t>加：营业外收入</w:t>
            </w:r>
          </w:p>
        </w:tc>
        <w:tc>
          <w:tcPr>
            <w:tcW w:w="2087" w:type="dxa"/>
            <w:tcBorders>
              <w:top w:val="single" w:color="auto" w:sz="4" w:space="0"/>
            </w:tcBorders>
          </w:tcPr>
          <w:p w14:paraId="04EEDEFA">
            <w:pPr>
              <w:pStyle w:val="4"/>
              <w:ind w:firstLine="0"/>
              <w:jc w:val="right"/>
              <w:rPr>
                <w:rFonts w:ascii="Arial Narrow" w:hAnsi="Arial Narrow"/>
                <w:szCs w:val="21"/>
              </w:rPr>
            </w:pPr>
            <w:r>
              <w:rPr>
                <w:rFonts w:ascii="Arial Narrow" w:hAnsi="Arial Narrow"/>
                <w:szCs w:val="21"/>
              </w:rPr>
              <w:t>11.44</w:t>
            </w:r>
          </w:p>
        </w:tc>
        <w:tc>
          <w:tcPr>
            <w:tcW w:w="2087" w:type="dxa"/>
            <w:tcBorders>
              <w:top w:val="single" w:color="auto" w:sz="4" w:space="0"/>
            </w:tcBorders>
          </w:tcPr>
          <w:p w14:paraId="5AECC834">
            <w:pPr>
              <w:pStyle w:val="4"/>
              <w:ind w:firstLine="0"/>
              <w:jc w:val="right"/>
              <w:rPr>
                <w:rFonts w:ascii="Arial Narrow" w:hAnsi="Arial Narrow"/>
                <w:szCs w:val="21"/>
              </w:rPr>
            </w:pPr>
            <w:r>
              <w:rPr>
                <w:rFonts w:ascii="Arial Narrow" w:hAnsi="Arial Narrow"/>
                <w:szCs w:val="21"/>
              </w:rPr>
              <w:t>0.69</w:t>
            </w:r>
          </w:p>
        </w:tc>
        <w:tc>
          <w:tcPr>
            <w:tcW w:w="2087" w:type="dxa"/>
            <w:tcBorders>
              <w:top w:val="single" w:color="auto" w:sz="4" w:space="0"/>
            </w:tcBorders>
          </w:tcPr>
          <w:p w14:paraId="48C95340">
            <w:pPr>
              <w:pStyle w:val="4"/>
              <w:ind w:firstLine="0"/>
              <w:jc w:val="right"/>
              <w:rPr>
                <w:rFonts w:ascii="Arial Narrow" w:hAnsi="Arial Narrow"/>
                <w:szCs w:val="21"/>
              </w:rPr>
            </w:pPr>
          </w:p>
        </w:tc>
      </w:tr>
      <w:tr w14:paraId="794E2DD5">
        <w:tblPrEx>
          <w:tblBorders>
            <w:top w:val="double" w:color="auto" w:sz="4" w:space="0"/>
            <w:left w:val="none" w:color="auto" w:sz="0" w:space="0"/>
            <w:bottom w:val="doub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284" w:hRule="atLeast"/>
          <w:jc w:val="center"/>
        </w:trPr>
        <w:tc>
          <w:tcPr>
            <w:tcW w:w="2459" w:type="dxa"/>
            <w:tcBorders>
              <w:top w:val="single" w:color="auto" w:sz="4" w:space="0"/>
            </w:tcBorders>
            <w:vAlign w:val="center"/>
          </w:tcPr>
          <w:p w14:paraId="79FAD72F">
            <w:pPr>
              <w:pStyle w:val="4"/>
              <w:ind w:firstLine="0"/>
              <w:rPr>
                <w:rFonts w:ascii="Arial Narrow" w:hAnsi="Arial Narrow"/>
                <w:szCs w:val="21"/>
              </w:rPr>
            </w:pPr>
            <w:r>
              <w:rPr>
                <w:rFonts w:ascii="Arial Narrow" w:hAnsi="Arial Narrow"/>
                <w:szCs w:val="21"/>
              </w:rPr>
              <w:t>减：营业外支出</w:t>
            </w:r>
          </w:p>
        </w:tc>
        <w:tc>
          <w:tcPr>
            <w:tcW w:w="2087" w:type="dxa"/>
            <w:tcBorders>
              <w:top w:val="single" w:color="auto" w:sz="4" w:space="0"/>
            </w:tcBorders>
          </w:tcPr>
          <w:p w14:paraId="271E14E5">
            <w:pPr>
              <w:pStyle w:val="4"/>
              <w:ind w:firstLine="0"/>
              <w:jc w:val="right"/>
              <w:rPr>
                <w:rFonts w:ascii="Arial Narrow" w:hAnsi="Arial Narrow"/>
                <w:szCs w:val="21"/>
              </w:rPr>
            </w:pPr>
            <w:r>
              <w:rPr>
                <w:rFonts w:ascii="Arial Narrow" w:hAnsi="Arial Narrow"/>
                <w:szCs w:val="21"/>
              </w:rPr>
              <w:t>0.98</w:t>
            </w:r>
          </w:p>
        </w:tc>
        <w:tc>
          <w:tcPr>
            <w:tcW w:w="2087" w:type="dxa"/>
            <w:tcBorders>
              <w:top w:val="single" w:color="auto" w:sz="4" w:space="0"/>
            </w:tcBorders>
          </w:tcPr>
          <w:p w14:paraId="4814618B">
            <w:pPr>
              <w:pStyle w:val="4"/>
              <w:ind w:firstLine="0"/>
              <w:jc w:val="right"/>
              <w:rPr>
                <w:rFonts w:ascii="Arial Narrow" w:hAnsi="Arial Narrow"/>
                <w:szCs w:val="21"/>
              </w:rPr>
            </w:pPr>
          </w:p>
        </w:tc>
        <w:tc>
          <w:tcPr>
            <w:tcW w:w="2087" w:type="dxa"/>
            <w:tcBorders>
              <w:top w:val="single" w:color="auto" w:sz="4" w:space="0"/>
            </w:tcBorders>
          </w:tcPr>
          <w:p w14:paraId="50EEEEDB">
            <w:pPr>
              <w:pStyle w:val="4"/>
              <w:ind w:firstLine="0"/>
              <w:jc w:val="right"/>
              <w:rPr>
                <w:rFonts w:ascii="Arial Narrow" w:hAnsi="Arial Narrow"/>
                <w:szCs w:val="21"/>
              </w:rPr>
            </w:pPr>
          </w:p>
        </w:tc>
      </w:tr>
      <w:tr w14:paraId="16DB2AE8">
        <w:tblPrEx>
          <w:tblBorders>
            <w:top w:val="double" w:color="auto" w:sz="4" w:space="0"/>
            <w:left w:val="none" w:color="auto" w:sz="0" w:space="0"/>
            <w:bottom w:val="doub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284" w:hRule="atLeast"/>
          <w:jc w:val="center"/>
        </w:trPr>
        <w:tc>
          <w:tcPr>
            <w:tcW w:w="2459" w:type="dxa"/>
            <w:vAlign w:val="center"/>
          </w:tcPr>
          <w:p w14:paraId="47414242">
            <w:pPr>
              <w:pStyle w:val="4"/>
              <w:ind w:firstLine="0"/>
              <w:rPr>
                <w:rFonts w:ascii="Arial Narrow" w:hAnsi="Arial Narrow"/>
                <w:szCs w:val="21"/>
              </w:rPr>
            </w:pPr>
            <w:r>
              <w:rPr>
                <w:rFonts w:ascii="Arial Narrow" w:hAnsi="Arial Narrow"/>
                <w:szCs w:val="21"/>
              </w:rPr>
              <w:t>三、利润总额</w:t>
            </w:r>
          </w:p>
        </w:tc>
        <w:tc>
          <w:tcPr>
            <w:tcW w:w="2087" w:type="dxa"/>
          </w:tcPr>
          <w:p w14:paraId="2D97BDD0">
            <w:pPr>
              <w:pStyle w:val="4"/>
              <w:ind w:firstLine="0"/>
              <w:jc w:val="right"/>
              <w:rPr>
                <w:rFonts w:ascii="Arial Narrow" w:hAnsi="Arial Narrow"/>
                <w:szCs w:val="21"/>
              </w:rPr>
            </w:pPr>
            <w:r>
              <w:rPr>
                <w:rFonts w:ascii="Arial Narrow" w:hAnsi="Arial Narrow"/>
                <w:szCs w:val="21"/>
              </w:rPr>
              <w:t>71.70</w:t>
            </w:r>
          </w:p>
        </w:tc>
        <w:tc>
          <w:tcPr>
            <w:tcW w:w="2087" w:type="dxa"/>
          </w:tcPr>
          <w:p w14:paraId="31599441">
            <w:pPr>
              <w:pStyle w:val="4"/>
              <w:ind w:firstLine="0"/>
              <w:jc w:val="right"/>
              <w:rPr>
                <w:rFonts w:ascii="Arial Narrow" w:hAnsi="Arial Narrow"/>
                <w:szCs w:val="21"/>
              </w:rPr>
            </w:pPr>
            <w:r>
              <w:t xml:space="preserve">70.72 </w:t>
            </w:r>
          </w:p>
        </w:tc>
        <w:tc>
          <w:tcPr>
            <w:tcW w:w="2087" w:type="dxa"/>
          </w:tcPr>
          <w:p w14:paraId="54994439">
            <w:pPr>
              <w:pStyle w:val="4"/>
              <w:ind w:firstLine="0"/>
              <w:jc w:val="right"/>
              <w:rPr>
                <w:rFonts w:ascii="Arial Narrow" w:hAnsi="Arial Narrow"/>
                <w:szCs w:val="21"/>
              </w:rPr>
            </w:pPr>
            <w:r>
              <w:t xml:space="preserve">8.08 </w:t>
            </w:r>
          </w:p>
        </w:tc>
      </w:tr>
      <w:tr w14:paraId="4DCB5A79">
        <w:tblPrEx>
          <w:tblBorders>
            <w:top w:val="double" w:color="auto" w:sz="4" w:space="0"/>
            <w:left w:val="none" w:color="auto" w:sz="0" w:space="0"/>
            <w:bottom w:val="doub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284" w:hRule="atLeast"/>
          <w:jc w:val="center"/>
        </w:trPr>
        <w:tc>
          <w:tcPr>
            <w:tcW w:w="2459" w:type="dxa"/>
            <w:vAlign w:val="center"/>
          </w:tcPr>
          <w:p w14:paraId="7109C4D8">
            <w:pPr>
              <w:pStyle w:val="4"/>
              <w:ind w:firstLine="0"/>
              <w:rPr>
                <w:rFonts w:ascii="Arial Narrow" w:hAnsi="Arial Narrow"/>
                <w:szCs w:val="21"/>
              </w:rPr>
            </w:pPr>
            <w:r>
              <w:rPr>
                <w:rFonts w:ascii="Arial Narrow" w:hAnsi="Arial Narrow"/>
                <w:szCs w:val="21"/>
              </w:rPr>
              <w:t>减:所得税费用</w:t>
            </w:r>
          </w:p>
        </w:tc>
        <w:tc>
          <w:tcPr>
            <w:tcW w:w="2087" w:type="dxa"/>
          </w:tcPr>
          <w:p w14:paraId="1ED18603">
            <w:pPr>
              <w:pStyle w:val="4"/>
              <w:ind w:firstLine="0"/>
              <w:jc w:val="right"/>
              <w:rPr>
                <w:rFonts w:ascii="Arial Narrow" w:hAnsi="Arial Narrow"/>
                <w:szCs w:val="21"/>
              </w:rPr>
            </w:pPr>
            <w:r>
              <w:t>0.04</w:t>
            </w:r>
          </w:p>
        </w:tc>
        <w:tc>
          <w:tcPr>
            <w:tcW w:w="2087" w:type="dxa"/>
          </w:tcPr>
          <w:p w14:paraId="670ED829">
            <w:pPr>
              <w:pStyle w:val="4"/>
              <w:ind w:firstLine="0"/>
              <w:jc w:val="right"/>
              <w:rPr>
                <w:rFonts w:ascii="Arial Narrow" w:hAnsi="Arial Narrow"/>
                <w:szCs w:val="21"/>
              </w:rPr>
            </w:pPr>
            <w:r>
              <w:t xml:space="preserve">-0.50 </w:t>
            </w:r>
          </w:p>
        </w:tc>
        <w:tc>
          <w:tcPr>
            <w:tcW w:w="2087" w:type="dxa"/>
          </w:tcPr>
          <w:p w14:paraId="3F878A24">
            <w:pPr>
              <w:pStyle w:val="4"/>
              <w:ind w:firstLine="0"/>
              <w:jc w:val="right"/>
              <w:rPr>
                <w:rFonts w:ascii="Arial Narrow" w:hAnsi="Arial Narrow"/>
                <w:szCs w:val="21"/>
              </w:rPr>
            </w:pPr>
            <w:r>
              <w:t xml:space="preserve">-9.85 </w:t>
            </w:r>
          </w:p>
        </w:tc>
      </w:tr>
      <w:tr w14:paraId="76368859">
        <w:tblPrEx>
          <w:tblBorders>
            <w:top w:val="double" w:color="auto" w:sz="4" w:space="0"/>
            <w:left w:val="none" w:color="auto" w:sz="0" w:space="0"/>
            <w:bottom w:val="doub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284" w:hRule="atLeast"/>
          <w:jc w:val="center"/>
        </w:trPr>
        <w:tc>
          <w:tcPr>
            <w:tcW w:w="2459" w:type="dxa"/>
            <w:vAlign w:val="center"/>
          </w:tcPr>
          <w:p w14:paraId="0D5AB42B">
            <w:pPr>
              <w:pStyle w:val="4"/>
              <w:ind w:firstLine="0"/>
              <w:rPr>
                <w:rFonts w:ascii="Arial Narrow" w:hAnsi="Arial Narrow"/>
                <w:szCs w:val="21"/>
              </w:rPr>
            </w:pPr>
            <w:r>
              <w:rPr>
                <w:rFonts w:ascii="Arial Narrow" w:hAnsi="Arial Narrow"/>
                <w:szCs w:val="21"/>
              </w:rPr>
              <w:t>四、净利润</w:t>
            </w:r>
          </w:p>
        </w:tc>
        <w:tc>
          <w:tcPr>
            <w:tcW w:w="2087" w:type="dxa"/>
          </w:tcPr>
          <w:p w14:paraId="6BBE91C9">
            <w:pPr>
              <w:pStyle w:val="4"/>
              <w:ind w:firstLine="0"/>
              <w:jc w:val="right"/>
              <w:rPr>
                <w:b/>
                <w:bCs/>
              </w:rPr>
            </w:pPr>
            <w:r>
              <w:rPr>
                <w:b/>
                <w:bCs/>
              </w:rPr>
              <w:t>71.66</w:t>
            </w:r>
          </w:p>
        </w:tc>
        <w:tc>
          <w:tcPr>
            <w:tcW w:w="2087" w:type="dxa"/>
          </w:tcPr>
          <w:p w14:paraId="08EBC6C1">
            <w:pPr>
              <w:pStyle w:val="4"/>
              <w:ind w:firstLine="0"/>
              <w:jc w:val="right"/>
              <w:rPr>
                <w:b/>
                <w:bCs/>
              </w:rPr>
            </w:pPr>
            <w:r>
              <w:rPr>
                <w:b/>
                <w:bCs/>
              </w:rPr>
              <w:t xml:space="preserve">71.22 </w:t>
            </w:r>
          </w:p>
        </w:tc>
        <w:tc>
          <w:tcPr>
            <w:tcW w:w="2087" w:type="dxa"/>
          </w:tcPr>
          <w:p w14:paraId="5834A1F8">
            <w:pPr>
              <w:pStyle w:val="4"/>
              <w:ind w:firstLine="0"/>
              <w:jc w:val="right"/>
              <w:rPr>
                <w:b/>
                <w:bCs/>
              </w:rPr>
            </w:pPr>
            <w:r>
              <w:rPr>
                <w:b/>
                <w:bCs/>
              </w:rPr>
              <w:t xml:space="preserve">17.93 </w:t>
            </w:r>
          </w:p>
        </w:tc>
      </w:tr>
    </w:tbl>
    <w:p w14:paraId="2519B5B2">
      <w:pPr>
        <w:pStyle w:val="4"/>
        <w:ind w:firstLineChars="200"/>
        <w:rPr>
          <w:rFonts w:ascii="Arial Narrow" w:hAnsi="Arial Narrow"/>
          <w:szCs w:val="21"/>
        </w:rPr>
      </w:pPr>
      <w:r>
        <w:rPr>
          <w:rFonts w:hint="eastAsia" w:ascii="Arial Narrow" w:hAnsi="Arial Narrow"/>
          <w:szCs w:val="21"/>
        </w:rPr>
        <w:t>注：</w:t>
      </w:r>
      <w:r>
        <w:rPr>
          <w:rFonts w:asciiTheme="minorEastAsia" w:hAnsiTheme="minorEastAsia" w:eastAsiaTheme="minorEastAsia"/>
          <w:szCs w:val="21"/>
        </w:rPr>
        <w:t>上表中列示的</w:t>
      </w:r>
      <w:r>
        <w:rPr>
          <w:rFonts w:hint="eastAsia" w:asciiTheme="minorEastAsia" w:hAnsiTheme="minorEastAsia" w:eastAsiaTheme="minorEastAsia"/>
          <w:szCs w:val="21"/>
        </w:rPr>
        <w:t>2022年-2024年度财务报表未经审计</w:t>
      </w:r>
      <w:r>
        <w:rPr>
          <w:rFonts w:ascii="Arial Narrow" w:hAnsi="Arial Narrow"/>
          <w:szCs w:val="21"/>
        </w:rPr>
        <w:t>。</w:t>
      </w:r>
    </w:p>
    <w:p w14:paraId="665C2EC6">
      <w:pPr>
        <w:pStyle w:val="4"/>
        <w:numPr>
          <w:ilvl w:val="0"/>
          <w:numId w:val="6"/>
        </w:numPr>
        <w:spacing w:before="120" w:beforeLines="50" w:line="360" w:lineRule="auto"/>
        <w:ind w:left="0" w:firstLine="482" w:firstLineChars="200"/>
        <w:rPr>
          <w:rFonts w:hint="eastAsia" w:cs="Arial Narrow" w:asciiTheme="minorEastAsia" w:hAnsiTheme="minorEastAsia" w:eastAsiaTheme="minorEastAsia"/>
          <w:b/>
          <w:sz w:val="24"/>
        </w:rPr>
      </w:pPr>
      <w:r>
        <w:rPr>
          <w:rFonts w:cs="Arial Narrow" w:asciiTheme="minorEastAsia" w:hAnsiTheme="minorEastAsia" w:eastAsiaTheme="minorEastAsia"/>
          <w:b/>
          <w:sz w:val="24"/>
        </w:rPr>
        <w:t>资产评估委托合同约定的其他评估报告使用</w:t>
      </w:r>
      <w:r>
        <w:rPr>
          <w:rFonts w:hint="eastAsia" w:cs="Arial Narrow" w:asciiTheme="minorEastAsia" w:hAnsiTheme="minorEastAsia" w:eastAsiaTheme="minorEastAsia"/>
          <w:b/>
          <w:sz w:val="24"/>
        </w:rPr>
        <w:t>人</w:t>
      </w:r>
    </w:p>
    <w:p w14:paraId="797B5C36">
      <w:pPr>
        <w:pStyle w:val="4"/>
        <w:spacing w:line="360" w:lineRule="auto"/>
        <w:ind w:firstLine="484" w:firstLineChars="202"/>
        <w:rPr>
          <w:rFonts w:ascii="Arial Narrow" w:hAnsi="Arial Narrow"/>
          <w:sz w:val="24"/>
          <w:szCs w:val="24"/>
        </w:rPr>
      </w:pPr>
      <w:r>
        <w:rPr>
          <w:rFonts w:ascii="Arial Narrow" w:hAnsi="Arial Narrow"/>
          <w:sz w:val="24"/>
          <w:szCs w:val="24"/>
        </w:rPr>
        <w:t>根据资产评估委托合同的约定，本报告无其他报告使用</w:t>
      </w:r>
      <w:r>
        <w:rPr>
          <w:rFonts w:hint="eastAsia" w:ascii="Arial Narrow" w:hAnsi="Arial Narrow"/>
          <w:sz w:val="24"/>
          <w:szCs w:val="24"/>
        </w:rPr>
        <w:t>人</w:t>
      </w:r>
      <w:r>
        <w:rPr>
          <w:rFonts w:ascii="Arial Narrow" w:hAnsi="Arial Narrow"/>
          <w:sz w:val="24"/>
          <w:szCs w:val="24"/>
        </w:rPr>
        <w:t>。</w:t>
      </w:r>
    </w:p>
    <w:p w14:paraId="0C8D6E3E">
      <w:pPr>
        <w:pStyle w:val="4"/>
        <w:numPr>
          <w:ilvl w:val="0"/>
          <w:numId w:val="6"/>
        </w:numPr>
        <w:spacing w:before="120" w:beforeLines="50" w:line="360" w:lineRule="auto"/>
        <w:ind w:left="0" w:firstLine="482" w:firstLineChars="200"/>
        <w:rPr>
          <w:rFonts w:hint="eastAsia" w:cs="Arial Narrow" w:asciiTheme="minorEastAsia" w:hAnsiTheme="minorEastAsia" w:eastAsiaTheme="minorEastAsia"/>
          <w:b/>
          <w:sz w:val="24"/>
        </w:rPr>
      </w:pPr>
      <w:r>
        <w:rPr>
          <w:rFonts w:cs="Arial Narrow" w:asciiTheme="minorEastAsia" w:hAnsiTheme="minorEastAsia" w:eastAsiaTheme="minorEastAsia"/>
          <w:b/>
          <w:sz w:val="24"/>
        </w:rPr>
        <w:t>委托人和被评估单位的关系</w:t>
      </w:r>
    </w:p>
    <w:p w14:paraId="28CB0649">
      <w:pPr>
        <w:pStyle w:val="4"/>
        <w:spacing w:line="360" w:lineRule="auto"/>
        <w:ind w:firstLine="480" w:firstLineChars="200"/>
        <w:rPr>
          <w:rFonts w:ascii="Arial Narrow" w:hAnsi="Arial Narrow"/>
          <w:color w:val="000000" w:themeColor="text1"/>
          <w:sz w:val="24"/>
          <w:szCs w:val="24"/>
          <w14:textFill>
            <w14:solidFill>
              <w14:schemeClr w14:val="tx1"/>
            </w14:solidFill>
          </w14:textFill>
        </w:rPr>
      </w:pPr>
      <w:r>
        <w:rPr>
          <w:rFonts w:hint="eastAsia" w:ascii="Arial Narrow" w:hAnsi="Arial Narrow"/>
          <w:color w:val="000000" w:themeColor="text1"/>
          <w:sz w:val="24"/>
          <w:szCs w:val="24"/>
          <w14:textFill>
            <w14:solidFill>
              <w14:schemeClr w14:val="tx1"/>
            </w14:solidFill>
          </w14:textFill>
        </w:rPr>
        <w:t>本次评估的委托人系被评估单位股东之一</w:t>
      </w:r>
      <w:r>
        <w:rPr>
          <w:rFonts w:ascii="Arial Narrow" w:hAnsi="Arial Narrow"/>
          <w:color w:val="000000" w:themeColor="text1"/>
          <w:sz w:val="24"/>
          <w:szCs w:val="24"/>
          <w14:textFill>
            <w14:solidFill>
              <w14:schemeClr w14:val="tx1"/>
            </w14:solidFill>
          </w14:textFill>
        </w:rPr>
        <w:t>。</w:t>
      </w:r>
    </w:p>
    <w:p w14:paraId="0FBCD61F">
      <w:pPr>
        <w:pStyle w:val="3"/>
        <w:numPr>
          <w:ilvl w:val="0"/>
          <w:numId w:val="5"/>
        </w:numPr>
        <w:tabs>
          <w:tab w:val="left" w:pos="1134"/>
          <w:tab w:val="left" w:pos="1276"/>
          <w:tab w:val="left" w:pos="1725"/>
        </w:tabs>
        <w:spacing w:before="240" w:after="0" w:line="360" w:lineRule="auto"/>
        <w:ind w:left="0" w:firstLine="562" w:firstLineChars="200"/>
        <w:rPr>
          <w:rFonts w:ascii="Arial Narrow" w:hAnsi="Arial Narrow" w:cs="Arial Narrow"/>
          <w:sz w:val="28"/>
          <w:szCs w:val="28"/>
        </w:rPr>
      </w:pPr>
      <w:bookmarkStart w:id="15" w:name="_Toc508451366"/>
      <w:bookmarkStart w:id="16" w:name="_Toc433891570"/>
      <w:bookmarkStart w:id="17" w:name="_Toc5724"/>
      <w:bookmarkStart w:id="18" w:name="_Toc26851005"/>
      <w:bookmarkStart w:id="19" w:name="_Toc124584878"/>
      <w:bookmarkStart w:id="20" w:name="_Toc52527843"/>
      <w:bookmarkStart w:id="21" w:name="_Toc118976870"/>
      <w:bookmarkStart w:id="22" w:name="_Toc28943752"/>
      <w:bookmarkStart w:id="23" w:name="_Toc28943616"/>
      <w:bookmarkStart w:id="24" w:name="_Toc28943840"/>
      <w:bookmarkStart w:id="25" w:name="_Toc26850523"/>
      <w:bookmarkStart w:id="26" w:name="_Toc29095631"/>
      <w:bookmarkStart w:id="27" w:name="_Toc29095526"/>
      <w:bookmarkStart w:id="28" w:name="_Toc254946533"/>
      <w:r>
        <w:rPr>
          <w:rFonts w:ascii="Arial Narrow" w:hAnsi="Arial Narrow" w:cs="Arial Narrow"/>
          <w:sz w:val="28"/>
          <w:szCs w:val="28"/>
        </w:rPr>
        <w:t>评估目的</w:t>
      </w:r>
      <w:bookmarkEnd w:id="15"/>
      <w:bookmarkEnd w:id="16"/>
      <w:bookmarkEnd w:id="17"/>
    </w:p>
    <w:p w14:paraId="5A6F0E32">
      <w:pPr>
        <w:pStyle w:val="4"/>
        <w:spacing w:line="360" w:lineRule="auto"/>
        <w:ind w:firstLine="480" w:firstLineChars="200"/>
        <w:rPr>
          <w:rFonts w:hint="eastAsia" w:cs="Arial Narrow" w:asciiTheme="minorEastAsia" w:hAnsiTheme="minorEastAsia" w:eastAsiaTheme="minorEastAsia"/>
          <w:sz w:val="24"/>
        </w:rPr>
      </w:pPr>
      <w:r>
        <w:rPr>
          <w:rFonts w:hint="eastAsia" w:asciiTheme="minorEastAsia" w:hAnsiTheme="minorEastAsia" w:eastAsiaTheme="minorEastAsia"/>
          <w:sz w:val="24"/>
          <w:szCs w:val="24"/>
        </w:rPr>
        <w:t>安徽交运集团巢湖汽运有限公司拟转让持有的和县飞雁城乡客运有限公司51%股权事宜</w:t>
      </w:r>
      <w:r>
        <w:rPr>
          <w:rFonts w:hint="eastAsia" w:cs="Arial Narrow" w:asciiTheme="minorEastAsia" w:hAnsiTheme="minorEastAsia" w:eastAsiaTheme="minorEastAsia"/>
          <w:sz w:val="24"/>
          <w:szCs w:val="24"/>
        </w:rPr>
        <w:t>，需要该经济行为涉及的</w:t>
      </w:r>
      <w:r>
        <w:rPr>
          <w:rFonts w:hint="eastAsia" w:asciiTheme="minorEastAsia" w:hAnsiTheme="minorEastAsia" w:eastAsiaTheme="minorEastAsia"/>
          <w:sz w:val="24"/>
          <w:szCs w:val="24"/>
        </w:rPr>
        <w:t>和县飞雁城乡客运有限公司全部股东权益</w:t>
      </w:r>
      <w:r>
        <w:rPr>
          <w:rFonts w:hint="eastAsia" w:cs="Arial Narrow" w:asciiTheme="minorEastAsia" w:hAnsiTheme="minorEastAsia" w:eastAsiaTheme="minorEastAsia"/>
          <w:sz w:val="24"/>
          <w:szCs w:val="24"/>
        </w:rPr>
        <w:t>的市场价值进行评估，为该经济行为提供价值参考依据。</w:t>
      </w:r>
    </w:p>
    <w:p w14:paraId="71807113">
      <w:pPr>
        <w:pStyle w:val="3"/>
        <w:numPr>
          <w:ilvl w:val="0"/>
          <w:numId w:val="5"/>
        </w:numPr>
        <w:tabs>
          <w:tab w:val="left" w:pos="1134"/>
          <w:tab w:val="left" w:pos="1276"/>
          <w:tab w:val="left" w:pos="1725"/>
        </w:tabs>
        <w:spacing w:before="240" w:after="0" w:line="360" w:lineRule="auto"/>
        <w:ind w:left="0" w:firstLine="562" w:firstLineChars="200"/>
        <w:rPr>
          <w:rFonts w:ascii="Arial Narrow" w:hAnsi="Arial Narrow" w:cs="Arial Narrow"/>
          <w:sz w:val="28"/>
          <w:szCs w:val="28"/>
        </w:rPr>
      </w:pPr>
      <w:bookmarkStart w:id="29" w:name="_Toc433891571"/>
      <w:bookmarkStart w:id="30" w:name="_Toc299370003"/>
      <w:bookmarkStart w:id="31" w:name="_Toc291425944"/>
      <w:bookmarkStart w:id="32" w:name="_Toc508451367"/>
      <w:bookmarkStart w:id="33" w:name="_Toc12907"/>
      <w:r>
        <w:rPr>
          <w:rFonts w:ascii="Arial Narrow" w:hAnsi="Arial Narrow" w:cs="Arial Narrow"/>
          <w:sz w:val="28"/>
          <w:szCs w:val="28"/>
        </w:rPr>
        <w:t>关于评估对象和评估范围的说明</w:t>
      </w:r>
      <w:bookmarkEnd w:id="18"/>
      <w:bookmarkEnd w:id="19"/>
      <w:bookmarkEnd w:id="20"/>
      <w:bookmarkEnd w:id="21"/>
      <w:bookmarkEnd w:id="22"/>
      <w:bookmarkEnd w:id="23"/>
      <w:bookmarkEnd w:id="24"/>
      <w:bookmarkEnd w:id="25"/>
      <w:bookmarkEnd w:id="26"/>
      <w:bookmarkEnd w:id="27"/>
      <w:bookmarkEnd w:id="28"/>
      <w:bookmarkEnd w:id="29"/>
      <w:bookmarkEnd w:id="30"/>
      <w:bookmarkEnd w:id="31"/>
      <w:bookmarkEnd w:id="32"/>
      <w:bookmarkEnd w:id="33"/>
    </w:p>
    <w:p w14:paraId="677EC8BB">
      <w:pPr>
        <w:pStyle w:val="5"/>
        <w:numPr>
          <w:ilvl w:val="0"/>
          <w:numId w:val="8"/>
        </w:numPr>
        <w:autoSpaceDE w:val="0"/>
        <w:autoSpaceDN w:val="0"/>
        <w:adjustRightInd w:val="0"/>
        <w:snapToGrid w:val="0"/>
        <w:spacing w:before="120" w:beforeLines="50" w:after="0" w:line="360" w:lineRule="auto"/>
        <w:ind w:left="0" w:firstLine="482" w:firstLineChars="200"/>
        <w:textAlignment w:val="bottom"/>
        <w:rPr>
          <w:rFonts w:hint="eastAsia" w:cs="Arial Narrow" w:asciiTheme="minorEastAsia" w:hAnsiTheme="minorEastAsia" w:eastAsiaTheme="minorEastAsia"/>
          <w:sz w:val="24"/>
          <w:szCs w:val="24"/>
        </w:rPr>
      </w:pPr>
      <w:bookmarkStart w:id="34" w:name="_Toc372060767"/>
      <w:bookmarkStart w:id="35" w:name="_Toc233091210"/>
      <w:bookmarkStart w:id="36" w:name="_Toc433891572"/>
      <w:bookmarkStart w:id="37" w:name="_Toc124584879"/>
      <w:bookmarkStart w:id="38" w:name="_Toc52527844"/>
      <w:bookmarkStart w:id="39" w:name="_Toc29095632"/>
      <w:bookmarkStart w:id="40" w:name="_Toc26850524"/>
      <w:bookmarkStart w:id="41" w:name="_Toc118976871"/>
      <w:bookmarkStart w:id="42" w:name="_Toc26851006"/>
      <w:bookmarkStart w:id="43" w:name="_Toc28943841"/>
      <w:bookmarkStart w:id="44" w:name="_Toc29095527"/>
      <w:bookmarkStart w:id="45" w:name="_Toc28943753"/>
      <w:bookmarkStart w:id="46" w:name="_Toc28943617"/>
      <w:bookmarkStart w:id="47" w:name="_Toc254946534"/>
      <w:r>
        <w:rPr>
          <w:rFonts w:cs="Arial Narrow" w:asciiTheme="minorEastAsia" w:hAnsiTheme="minorEastAsia" w:eastAsiaTheme="minorEastAsia"/>
          <w:sz w:val="24"/>
          <w:szCs w:val="24"/>
        </w:rPr>
        <w:t>评估对象</w:t>
      </w:r>
      <w:bookmarkEnd w:id="34"/>
      <w:bookmarkEnd w:id="35"/>
      <w:bookmarkEnd w:id="36"/>
    </w:p>
    <w:p w14:paraId="05E79E41">
      <w:pPr>
        <w:pStyle w:val="4"/>
        <w:spacing w:line="360" w:lineRule="auto"/>
        <w:ind w:firstLine="480" w:firstLineChars="200"/>
        <w:rPr>
          <w:rFonts w:ascii="Arial Narrow" w:hAnsi="Arial Narrow" w:cs="Arial Narrow"/>
          <w:sz w:val="24"/>
        </w:rPr>
      </w:pPr>
      <w:r>
        <w:rPr>
          <w:rFonts w:hint="eastAsia" w:ascii="Arial Narrow" w:hAnsi="Arial Narrow" w:cs="Arial Narrow"/>
          <w:sz w:val="24"/>
        </w:rPr>
        <w:t>评估对象为</w:t>
      </w:r>
      <w:r>
        <w:rPr>
          <w:rFonts w:hint="eastAsia" w:asciiTheme="minorEastAsia" w:hAnsiTheme="minorEastAsia" w:eastAsiaTheme="minorEastAsia"/>
          <w:sz w:val="24"/>
          <w:szCs w:val="24"/>
        </w:rPr>
        <w:t>和县飞雁城乡客运有限公司全部股东权益</w:t>
      </w:r>
      <w:r>
        <w:rPr>
          <w:rFonts w:hint="eastAsia" w:cs="Arial Narrow" w:asciiTheme="minorEastAsia" w:hAnsiTheme="minorEastAsia" w:eastAsiaTheme="minorEastAsia"/>
          <w:sz w:val="24"/>
          <w:szCs w:val="24"/>
        </w:rPr>
        <w:t>的市场价值</w:t>
      </w:r>
      <w:r>
        <w:rPr>
          <w:rFonts w:ascii="Arial Narrow" w:hAnsi="Arial Narrow" w:cs="Arial Narrow"/>
          <w:sz w:val="24"/>
        </w:rPr>
        <w:t>。</w:t>
      </w:r>
    </w:p>
    <w:p w14:paraId="21AEE1CE">
      <w:pPr>
        <w:pStyle w:val="5"/>
        <w:numPr>
          <w:ilvl w:val="0"/>
          <w:numId w:val="8"/>
        </w:numPr>
        <w:autoSpaceDE w:val="0"/>
        <w:autoSpaceDN w:val="0"/>
        <w:adjustRightInd w:val="0"/>
        <w:snapToGrid w:val="0"/>
        <w:spacing w:before="120" w:beforeLines="50" w:after="0" w:line="360" w:lineRule="auto"/>
        <w:ind w:left="0" w:firstLine="482" w:firstLineChars="200"/>
        <w:textAlignment w:val="bottom"/>
        <w:rPr>
          <w:rFonts w:hint="eastAsia" w:cs="Arial Narrow" w:asciiTheme="minorEastAsia" w:hAnsiTheme="minorEastAsia" w:eastAsiaTheme="minorEastAsia"/>
          <w:sz w:val="24"/>
          <w:szCs w:val="24"/>
        </w:rPr>
      </w:pPr>
      <w:bookmarkStart w:id="48" w:name="_Toc233091211"/>
      <w:bookmarkStart w:id="49" w:name="_Toc433891573"/>
      <w:bookmarkStart w:id="50" w:name="_Toc372060768"/>
      <w:r>
        <w:rPr>
          <w:rFonts w:cs="Arial Narrow" w:asciiTheme="minorEastAsia" w:hAnsiTheme="minorEastAsia" w:eastAsiaTheme="minorEastAsia"/>
          <w:sz w:val="24"/>
          <w:szCs w:val="24"/>
        </w:rPr>
        <w:t>评估范围</w:t>
      </w:r>
      <w:bookmarkEnd w:id="48"/>
      <w:bookmarkEnd w:id="49"/>
      <w:bookmarkEnd w:id="50"/>
    </w:p>
    <w:p w14:paraId="4D196C89">
      <w:pPr>
        <w:pStyle w:val="4"/>
        <w:spacing w:before="120" w:beforeLines="50" w:line="360" w:lineRule="auto"/>
        <w:ind w:firstLine="480" w:firstLineChars="200"/>
        <w:rPr>
          <w:rFonts w:ascii="Arial Narrow" w:hAnsi="Arial Narrow" w:cs="Arial Narrow"/>
          <w:sz w:val="24"/>
          <w:szCs w:val="24"/>
        </w:rPr>
      </w:pPr>
      <w:bookmarkStart w:id="51" w:name="_Toc233091212"/>
      <w:r>
        <w:rPr>
          <w:rFonts w:hint="eastAsia" w:ascii="Arial Narrow" w:hAnsi="Arial Narrow" w:cs="Arial Narrow"/>
          <w:sz w:val="24"/>
          <w:szCs w:val="24"/>
        </w:rPr>
        <w:t>评估范围为</w:t>
      </w:r>
      <w:r>
        <w:rPr>
          <w:rFonts w:hint="eastAsia" w:asciiTheme="minorEastAsia" w:hAnsiTheme="minorEastAsia" w:eastAsiaTheme="minorEastAsia"/>
          <w:sz w:val="24"/>
          <w:szCs w:val="24"/>
        </w:rPr>
        <w:t>和县飞雁城乡客运有限公司</w:t>
      </w:r>
      <w:r>
        <w:rPr>
          <w:rFonts w:hint="eastAsia" w:ascii="Arial Narrow" w:hAnsi="Arial Narrow" w:cs="Arial Narrow"/>
          <w:sz w:val="24"/>
          <w:szCs w:val="24"/>
        </w:rPr>
        <w:t>于评估基准日的全部资产及负债，其中总资产账面价值</w:t>
      </w:r>
      <w:r>
        <w:rPr>
          <w:rFonts w:ascii="Arial Narrow" w:hAnsi="Arial Narrow" w:cs="Arial Narrow"/>
          <w:sz w:val="24"/>
          <w:szCs w:val="24"/>
        </w:rPr>
        <w:t>1,924.95</w:t>
      </w:r>
      <w:r>
        <w:rPr>
          <w:rFonts w:hint="eastAsia" w:ascii="Arial Narrow" w:hAnsi="Arial Narrow" w:cs="Arial Narrow"/>
          <w:sz w:val="24"/>
          <w:szCs w:val="24"/>
        </w:rPr>
        <w:t>万元，负债账面价值</w:t>
      </w:r>
      <w:r>
        <w:rPr>
          <w:rFonts w:ascii="Arial Narrow" w:hAnsi="Arial Narrow" w:cs="Arial Narrow"/>
          <w:sz w:val="24"/>
          <w:szCs w:val="24"/>
        </w:rPr>
        <w:t>955.62</w:t>
      </w:r>
      <w:r>
        <w:rPr>
          <w:rFonts w:hint="eastAsia" w:ascii="Arial Narrow" w:hAnsi="Arial Narrow" w:cs="Arial Narrow"/>
          <w:sz w:val="24"/>
          <w:szCs w:val="24"/>
        </w:rPr>
        <w:t>万元，净资产账面价值</w:t>
      </w:r>
      <w:r>
        <w:rPr>
          <w:rFonts w:ascii="Arial Narrow" w:hAnsi="Arial Narrow" w:cs="Arial Narrow"/>
          <w:sz w:val="24"/>
          <w:szCs w:val="24"/>
        </w:rPr>
        <w:t>969.33</w:t>
      </w:r>
      <w:r>
        <w:rPr>
          <w:rFonts w:hint="eastAsia" w:ascii="Arial Narrow" w:hAnsi="Arial Narrow" w:cs="Arial Narrow"/>
          <w:sz w:val="24"/>
          <w:szCs w:val="24"/>
        </w:rPr>
        <w:t>万元。各类资产及负债的账面价值见下表：。</w:t>
      </w:r>
    </w:p>
    <w:p w14:paraId="63658F4C">
      <w:pPr>
        <w:spacing w:line="360" w:lineRule="auto"/>
        <w:ind w:firstLine="420" w:firstLineChars="200"/>
        <w:jc w:val="right"/>
        <w:rPr>
          <w:rFonts w:ascii="Arial Narrow" w:hAnsi="Arial Narrow" w:cs="Arial Narrow"/>
          <w:kern w:val="2"/>
          <w:sz w:val="21"/>
          <w:szCs w:val="21"/>
        </w:rPr>
      </w:pPr>
      <w:r>
        <w:rPr>
          <w:rFonts w:ascii="Arial Narrow" w:hAnsi="Arial Narrow" w:cs="Arial Narrow"/>
          <w:kern w:val="2"/>
          <w:sz w:val="21"/>
          <w:szCs w:val="21"/>
        </w:rPr>
        <w:t>单位：人民币</w:t>
      </w:r>
      <w:r>
        <w:rPr>
          <w:rFonts w:hint="eastAsia" w:ascii="Arial Narrow" w:hAnsi="Arial Narrow" w:cs="Arial Narrow"/>
          <w:kern w:val="2"/>
          <w:sz w:val="21"/>
          <w:szCs w:val="21"/>
        </w:rPr>
        <w:t>万</w:t>
      </w:r>
      <w:r>
        <w:rPr>
          <w:rFonts w:ascii="Arial Narrow" w:hAnsi="Arial Narrow" w:cs="Arial Narrow"/>
          <w:kern w:val="2"/>
          <w:sz w:val="21"/>
          <w:szCs w:val="21"/>
        </w:rPr>
        <w:t>元</w:t>
      </w:r>
    </w:p>
    <w:p w14:paraId="4A37340B">
      <w:pPr>
        <w:pStyle w:val="4"/>
        <w:tabs>
          <w:tab w:val="left" w:pos="840"/>
        </w:tabs>
        <w:spacing w:before="120" w:beforeLines="50" w:line="360" w:lineRule="auto"/>
        <w:ind w:firstLine="0"/>
        <w:jc w:val="left"/>
        <w:rPr>
          <w:rFonts w:ascii="Arial Narrow" w:hAnsi="Arial Narrow" w:cs="Arial Narrow"/>
          <w:sz w:val="20"/>
        </w:rPr>
      </w:pPr>
    </w:p>
    <w:tbl>
      <w:tblPr>
        <w:tblStyle w:val="59"/>
        <w:tblW w:w="6333"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21"/>
        <w:gridCol w:w="2856"/>
        <w:gridCol w:w="2856"/>
      </w:tblGrid>
      <w:tr w14:paraId="39E983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621" w:type="dxa"/>
            <w:vAlign w:val="center"/>
          </w:tcPr>
          <w:p w14:paraId="42D4773E">
            <w:pPr>
              <w:widowControl/>
              <w:jc w:val="center"/>
              <w:rPr>
                <w:rFonts w:hint="eastAsia" w:hAnsi="宋体" w:cs="Arial Narrow"/>
                <w:sz w:val="20"/>
              </w:rPr>
            </w:pPr>
            <w:r>
              <w:rPr>
                <w:rFonts w:hint="eastAsia" w:hAnsi="宋体" w:cs="Arial Narrow"/>
                <w:sz w:val="20"/>
              </w:rPr>
              <w:t>序号</w:t>
            </w:r>
          </w:p>
        </w:tc>
        <w:tc>
          <w:tcPr>
            <w:tcW w:w="2856" w:type="dxa"/>
            <w:vAlign w:val="center"/>
          </w:tcPr>
          <w:p w14:paraId="6BEF58EB">
            <w:pPr>
              <w:widowControl/>
              <w:jc w:val="center"/>
              <w:rPr>
                <w:rFonts w:ascii="Arial Narrow" w:hAnsi="Arial Narrow" w:cs="Arial Narrow"/>
                <w:sz w:val="20"/>
              </w:rPr>
            </w:pPr>
            <w:r>
              <w:rPr>
                <w:rFonts w:ascii="Arial Narrow" w:hAnsi="Arial Narrow" w:cs="Arial Narrow"/>
                <w:sz w:val="20"/>
              </w:rPr>
              <w:t>项目</w:t>
            </w:r>
          </w:p>
        </w:tc>
        <w:tc>
          <w:tcPr>
            <w:tcW w:w="2856" w:type="dxa"/>
            <w:vAlign w:val="center"/>
          </w:tcPr>
          <w:p w14:paraId="58330F94">
            <w:pPr>
              <w:widowControl/>
              <w:jc w:val="center"/>
              <w:rPr>
                <w:rFonts w:ascii="Arial Narrow" w:hAnsi="Arial Narrow" w:cs="Arial Narrow"/>
                <w:sz w:val="20"/>
              </w:rPr>
            </w:pPr>
            <w:r>
              <w:rPr>
                <w:rFonts w:ascii="Arial Narrow" w:hAnsi="Arial Narrow" w:cs="Arial Narrow"/>
                <w:sz w:val="20"/>
              </w:rPr>
              <w:t>账面价值</w:t>
            </w:r>
          </w:p>
        </w:tc>
      </w:tr>
      <w:tr w14:paraId="02075B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21" w:type="dxa"/>
            <w:vAlign w:val="center"/>
          </w:tcPr>
          <w:p w14:paraId="4E5ECEFA">
            <w:pPr>
              <w:jc w:val="center"/>
              <w:rPr>
                <w:rFonts w:ascii="Arial Narrow" w:hAnsi="Arial Narrow" w:cs="Arial Narrow"/>
                <w:sz w:val="20"/>
              </w:rPr>
            </w:pPr>
            <w:r>
              <w:rPr>
                <w:rFonts w:ascii="Arial Narrow" w:hAnsi="Arial Narrow" w:cs="Arial Narrow"/>
                <w:sz w:val="20"/>
              </w:rPr>
              <w:t>1</w:t>
            </w:r>
          </w:p>
        </w:tc>
        <w:tc>
          <w:tcPr>
            <w:tcW w:w="2856" w:type="dxa"/>
            <w:vAlign w:val="center"/>
          </w:tcPr>
          <w:p w14:paraId="26373AE4">
            <w:pPr>
              <w:pStyle w:val="4"/>
              <w:ind w:firstLine="0"/>
              <w:rPr>
                <w:rFonts w:hint="eastAsia" w:ascii="宋体" w:hAnsi="宋体"/>
                <w:b/>
                <w:szCs w:val="21"/>
              </w:rPr>
            </w:pPr>
            <w:r>
              <w:rPr>
                <w:rFonts w:hint="eastAsia" w:ascii="宋体" w:hAnsi="宋体"/>
                <w:szCs w:val="21"/>
              </w:rPr>
              <w:t>流动资产</w:t>
            </w:r>
          </w:p>
        </w:tc>
        <w:tc>
          <w:tcPr>
            <w:tcW w:w="2856" w:type="dxa"/>
          </w:tcPr>
          <w:p w14:paraId="2FDB1026">
            <w:pPr>
              <w:jc w:val="right"/>
              <w:rPr>
                <w:sz w:val="21"/>
                <w:szCs w:val="21"/>
              </w:rPr>
            </w:pPr>
            <w:r>
              <w:rPr>
                <w:sz w:val="21"/>
                <w:szCs w:val="21"/>
              </w:rPr>
              <w:t>976.46</w:t>
            </w:r>
          </w:p>
        </w:tc>
      </w:tr>
      <w:tr w14:paraId="4BC140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21" w:type="dxa"/>
            <w:vAlign w:val="center"/>
          </w:tcPr>
          <w:p w14:paraId="6F3C9BA5">
            <w:pPr>
              <w:jc w:val="center"/>
              <w:rPr>
                <w:rFonts w:ascii="Arial Narrow" w:hAnsi="Arial Narrow" w:cs="Arial Narrow"/>
                <w:sz w:val="20"/>
              </w:rPr>
            </w:pPr>
            <w:r>
              <w:rPr>
                <w:rFonts w:ascii="Arial Narrow" w:hAnsi="Arial Narrow" w:cs="Arial Narrow"/>
                <w:sz w:val="20"/>
              </w:rPr>
              <w:t>2</w:t>
            </w:r>
          </w:p>
        </w:tc>
        <w:tc>
          <w:tcPr>
            <w:tcW w:w="2856" w:type="dxa"/>
            <w:vAlign w:val="center"/>
          </w:tcPr>
          <w:p w14:paraId="032C034E">
            <w:pPr>
              <w:pStyle w:val="4"/>
              <w:ind w:firstLine="0"/>
              <w:rPr>
                <w:rFonts w:hint="eastAsia" w:ascii="宋体" w:hAnsi="宋体"/>
                <w:b/>
                <w:szCs w:val="21"/>
              </w:rPr>
            </w:pPr>
            <w:r>
              <w:rPr>
                <w:rFonts w:hint="eastAsia" w:ascii="宋体" w:hAnsi="宋体"/>
                <w:szCs w:val="21"/>
              </w:rPr>
              <w:t>非流动资产</w:t>
            </w:r>
          </w:p>
        </w:tc>
        <w:tc>
          <w:tcPr>
            <w:tcW w:w="2856" w:type="dxa"/>
          </w:tcPr>
          <w:p w14:paraId="4A878334">
            <w:pPr>
              <w:jc w:val="right"/>
              <w:rPr>
                <w:sz w:val="21"/>
                <w:szCs w:val="21"/>
              </w:rPr>
            </w:pPr>
            <w:r>
              <w:rPr>
                <w:sz w:val="21"/>
                <w:szCs w:val="21"/>
              </w:rPr>
              <w:t>948.50</w:t>
            </w:r>
          </w:p>
        </w:tc>
      </w:tr>
      <w:tr w14:paraId="459ADB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21" w:type="dxa"/>
            <w:vAlign w:val="center"/>
          </w:tcPr>
          <w:p w14:paraId="4FDDF4F1">
            <w:pPr>
              <w:jc w:val="center"/>
              <w:rPr>
                <w:rFonts w:ascii="Arial Narrow" w:hAnsi="Arial Narrow" w:cs="Arial Narrow"/>
                <w:sz w:val="20"/>
              </w:rPr>
            </w:pPr>
            <w:r>
              <w:rPr>
                <w:rFonts w:ascii="Arial Narrow" w:hAnsi="Arial Narrow" w:cs="Arial Narrow"/>
                <w:sz w:val="20"/>
              </w:rPr>
              <w:t>3</w:t>
            </w:r>
          </w:p>
        </w:tc>
        <w:tc>
          <w:tcPr>
            <w:tcW w:w="2856" w:type="dxa"/>
            <w:vAlign w:val="center"/>
          </w:tcPr>
          <w:p w14:paraId="110AB0AC">
            <w:pPr>
              <w:pStyle w:val="4"/>
              <w:ind w:firstLineChars="200"/>
              <w:rPr>
                <w:rFonts w:hint="eastAsia" w:ascii="宋体" w:hAnsi="宋体"/>
                <w:szCs w:val="21"/>
              </w:rPr>
            </w:pPr>
            <w:r>
              <w:rPr>
                <w:rFonts w:hint="eastAsia" w:ascii="宋体" w:hAnsi="宋体"/>
                <w:szCs w:val="21"/>
              </w:rPr>
              <w:t>其中：长期股权投资</w:t>
            </w:r>
          </w:p>
        </w:tc>
        <w:tc>
          <w:tcPr>
            <w:tcW w:w="2856" w:type="dxa"/>
          </w:tcPr>
          <w:p w14:paraId="62287845">
            <w:pPr>
              <w:jc w:val="right"/>
              <w:rPr>
                <w:sz w:val="21"/>
                <w:szCs w:val="21"/>
              </w:rPr>
            </w:pPr>
          </w:p>
        </w:tc>
      </w:tr>
      <w:tr w14:paraId="6A16A0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21" w:type="dxa"/>
            <w:vAlign w:val="center"/>
          </w:tcPr>
          <w:p w14:paraId="60DD5E23">
            <w:pPr>
              <w:jc w:val="center"/>
              <w:rPr>
                <w:rFonts w:ascii="Arial Narrow" w:hAnsi="Arial Narrow" w:cs="Arial Narrow"/>
                <w:sz w:val="20"/>
              </w:rPr>
            </w:pPr>
            <w:r>
              <w:rPr>
                <w:rFonts w:ascii="Arial Narrow" w:hAnsi="Arial Narrow" w:cs="Arial Narrow"/>
                <w:sz w:val="20"/>
              </w:rPr>
              <w:t>4</w:t>
            </w:r>
          </w:p>
        </w:tc>
        <w:tc>
          <w:tcPr>
            <w:tcW w:w="2856" w:type="dxa"/>
            <w:vAlign w:val="center"/>
          </w:tcPr>
          <w:p w14:paraId="27715423">
            <w:pPr>
              <w:pStyle w:val="4"/>
              <w:ind w:firstLine="0"/>
              <w:rPr>
                <w:rFonts w:hint="eastAsia" w:ascii="宋体" w:hAnsi="宋体"/>
                <w:szCs w:val="21"/>
              </w:rPr>
            </w:pPr>
            <w:r>
              <w:rPr>
                <w:rFonts w:hint="eastAsia" w:ascii="宋体" w:hAnsi="宋体"/>
                <w:szCs w:val="21"/>
              </w:rPr>
              <w:t>长期债权投资</w:t>
            </w:r>
          </w:p>
        </w:tc>
        <w:tc>
          <w:tcPr>
            <w:tcW w:w="2856" w:type="dxa"/>
          </w:tcPr>
          <w:p w14:paraId="41B57A03">
            <w:pPr>
              <w:jc w:val="right"/>
              <w:rPr>
                <w:sz w:val="21"/>
                <w:szCs w:val="21"/>
              </w:rPr>
            </w:pPr>
          </w:p>
        </w:tc>
      </w:tr>
      <w:tr w14:paraId="27D3BC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21" w:type="dxa"/>
            <w:vAlign w:val="center"/>
          </w:tcPr>
          <w:p w14:paraId="01269EC6">
            <w:pPr>
              <w:jc w:val="center"/>
              <w:rPr>
                <w:rFonts w:ascii="Arial Narrow" w:hAnsi="Arial Narrow" w:cs="Arial Narrow"/>
                <w:sz w:val="20"/>
              </w:rPr>
            </w:pPr>
            <w:r>
              <w:rPr>
                <w:rFonts w:ascii="Arial Narrow" w:hAnsi="Arial Narrow" w:cs="Arial Narrow"/>
                <w:sz w:val="20"/>
              </w:rPr>
              <w:t>5</w:t>
            </w:r>
          </w:p>
        </w:tc>
        <w:tc>
          <w:tcPr>
            <w:tcW w:w="2856" w:type="dxa"/>
            <w:vAlign w:val="center"/>
          </w:tcPr>
          <w:p w14:paraId="41A5CCE6">
            <w:pPr>
              <w:pStyle w:val="4"/>
              <w:ind w:firstLine="0"/>
              <w:rPr>
                <w:rFonts w:hint="eastAsia" w:ascii="宋体" w:hAnsi="宋体"/>
                <w:szCs w:val="21"/>
              </w:rPr>
            </w:pPr>
            <w:r>
              <w:rPr>
                <w:rFonts w:hint="eastAsia" w:ascii="宋体" w:hAnsi="宋体"/>
                <w:szCs w:val="21"/>
              </w:rPr>
              <w:t>固定资产</w:t>
            </w:r>
          </w:p>
        </w:tc>
        <w:tc>
          <w:tcPr>
            <w:tcW w:w="2856" w:type="dxa"/>
          </w:tcPr>
          <w:p w14:paraId="10B26B86">
            <w:pPr>
              <w:jc w:val="right"/>
              <w:rPr>
                <w:sz w:val="21"/>
                <w:szCs w:val="21"/>
              </w:rPr>
            </w:pPr>
            <w:r>
              <w:rPr>
                <w:sz w:val="21"/>
                <w:szCs w:val="21"/>
              </w:rPr>
              <w:t>718.46</w:t>
            </w:r>
          </w:p>
        </w:tc>
      </w:tr>
      <w:tr w14:paraId="3EABA1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21" w:type="dxa"/>
            <w:vAlign w:val="center"/>
          </w:tcPr>
          <w:p w14:paraId="00E27720">
            <w:pPr>
              <w:jc w:val="center"/>
              <w:rPr>
                <w:rFonts w:ascii="Arial Narrow" w:hAnsi="Arial Narrow" w:cs="Arial Narrow"/>
                <w:sz w:val="20"/>
              </w:rPr>
            </w:pPr>
            <w:r>
              <w:rPr>
                <w:rFonts w:ascii="Arial Narrow" w:hAnsi="Arial Narrow" w:cs="Arial Narrow"/>
                <w:sz w:val="20"/>
              </w:rPr>
              <w:t>6</w:t>
            </w:r>
          </w:p>
        </w:tc>
        <w:tc>
          <w:tcPr>
            <w:tcW w:w="2856" w:type="dxa"/>
            <w:vAlign w:val="center"/>
          </w:tcPr>
          <w:p w14:paraId="0B00BAC7">
            <w:pPr>
              <w:pStyle w:val="4"/>
              <w:ind w:firstLine="0"/>
              <w:rPr>
                <w:rFonts w:hint="eastAsia" w:ascii="宋体" w:hAnsi="宋体"/>
                <w:szCs w:val="21"/>
              </w:rPr>
            </w:pPr>
            <w:r>
              <w:rPr>
                <w:rFonts w:hint="eastAsia" w:ascii="宋体" w:hAnsi="宋体"/>
                <w:szCs w:val="21"/>
              </w:rPr>
              <w:t>在建工程</w:t>
            </w:r>
          </w:p>
        </w:tc>
        <w:tc>
          <w:tcPr>
            <w:tcW w:w="2856" w:type="dxa"/>
          </w:tcPr>
          <w:p w14:paraId="360A27F5">
            <w:pPr>
              <w:jc w:val="right"/>
              <w:rPr>
                <w:sz w:val="21"/>
                <w:szCs w:val="21"/>
              </w:rPr>
            </w:pPr>
          </w:p>
        </w:tc>
      </w:tr>
      <w:tr w14:paraId="492211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21" w:type="dxa"/>
            <w:vAlign w:val="center"/>
          </w:tcPr>
          <w:p w14:paraId="596B3C0B">
            <w:pPr>
              <w:jc w:val="center"/>
              <w:rPr>
                <w:rFonts w:ascii="Arial Narrow" w:hAnsi="Arial Narrow" w:cs="Arial Narrow"/>
                <w:sz w:val="20"/>
              </w:rPr>
            </w:pPr>
            <w:r>
              <w:rPr>
                <w:rFonts w:ascii="Arial Narrow" w:hAnsi="Arial Narrow" w:cs="Arial Narrow"/>
                <w:sz w:val="20"/>
              </w:rPr>
              <w:t>7</w:t>
            </w:r>
          </w:p>
        </w:tc>
        <w:tc>
          <w:tcPr>
            <w:tcW w:w="2856" w:type="dxa"/>
            <w:vAlign w:val="center"/>
          </w:tcPr>
          <w:p w14:paraId="01EB5488">
            <w:pPr>
              <w:pStyle w:val="4"/>
              <w:ind w:firstLine="0"/>
              <w:rPr>
                <w:rFonts w:hint="eastAsia" w:ascii="宋体" w:hAnsi="宋体"/>
                <w:szCs w:val="21"/>
              </w:rPr>
            </w:pPr>
            <w:r>
              <w:rPr>
                <w:rFonts w:hint="eastAsia" w:ascii="宋体" w:hAnsi="宋体"/>
                <w:szCs w:val="21"/>
              </w:rPr>
              <w:t>无形资产</w:t>
            </w:r>
          </w:p>
        </w:tc>
        <w:tc>
          <w:tcPr>
            <w:tcW w:w="2856" w:type="dxa"/>
          </w:tcPr>
          <w:p w14:paraId="3C16936A">
            <w:pPr>
              <w:jc w:val="right"/>
              <w:rPr>
                <w:sz w:val="21"/>
                <w:szCs w:val="21"/>
              </w:rPr>
            </w:pPr>
          </w:p>
        </w:tc>
      </w:tr>
      <w:tr w14:paraId="318490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21" w:type="dxa"/>
            <w:vAlign w:val="center"/>
          </w:tcPr>
          <w:p w14:paraId="3AFB554E">
            <w:pPr>
              <w:jc w:val="center"/>
              <w:rPr>
                <w:rFonts w:ascii="Arial Narrow" w:hAnsi="Arial Narrow" w:cs="Arial Narrow"/>
                <w:sz w:val="20"/>
              </w:rPr>
            </w:pPr>
            <w:r>
              <w:rPr>
                <w:rFonts w:ascii="Arial Narrow" w:hAnsi="Arial Narrow" w:cs="Arial Narrow"/>
                <w:sz w:val="20"/>
              </w:rPr>
              <w:t>8</w:t>
            </w:r>
          </w:p>
        </w:tc>
        <w:tc>
          <w:tcPr>
            <w:tcW w:w="2856" w:type="dxa"/>
            <w:vAlign w:val="center"/>
          </w:tcPr>
          <w:p w14:paraId="57046182">
            <w:pPr>
              <w:pStyle w:val="4"/>
              <w:ind w:firstLine="0"/>
              <w:rPr>
                <w:rFonts w:hint="eastAsia" w:ascii="宋体" w:hAnsi="宋体"/>
                <w:szCs w:val="21"/>
              </w:rPr>
            </w:pPr>
            <w:r>
              <w:rPr>
                <w:rFonts w:hint="eastAsia" w:ascii="宋体" w:hAnsi="宋体"/>
                <w:szCs w:val="21"/>
              </w:rPr>
              <w:t>长期待摊费用</w:t>
            </w:r>
          </w:p>
        </w:tc>
        <w:tc>
          <w:tcPr>
            <w:tcW w:w="2856" w:type="dxa"/>
          </w:tcPr>
          <w:p w14:paraId="5E1D9FB3">
            <w:pPr>
              <w:jc w:val="right"/>
              <w:rPr>
                <w:sz w:val="21"/>
                <w:szCs w:val="21"/>
              </w:rPr>
            </w:pPr>
            <w:r>
              <w:rPr>
                <w:sz w:val="21"/>
                <w:szCs w:val="21"/>
              </w:rPr>
              <w:t>230.04</w:t>
            </w:r>
          </w:p>
        </w:tc>
      </w:tr>
      <w:tr w14:paraId="47423B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21" w:type="dxa"/>
            <w:vAlign w:val="center"/>
          </w:tcPr>
          <w:p w14:paraId="45A11152">
            <w:pPr>
              <w:jc w:val="center"/>
              <w:rPr>
                <w:rFonts w:ascii="Arial Narrow" w:hAnsi="Arial Narrow" w:cs="Arial Narrow"/>
                <w:sz w:val="20"/>
              </w:rPr>
            </w:pPr>
            <w:r>
              <w:rPr>
                <w:rFonts w:ascii="Arial Narrow" w:hAnsi="Arial Narrow" w:cs="Arial Narrow"/>
                <w:sz w:val="20"/>
              </w:rPr>
              <w:t>9</w:t>
            </w:r>
          </w:p>
        </w:tc>
        <w:tc>
          <w:tcPr>
            <w:tcW w:w="2856" w:type="dxa"/>
            <w:vAlign w:val="center"/>
          </w:tcPr>
          <w:p w14:paraId="4F2262D6">
            <w:pPr>
              <w:pStyle w:val="4"/>
              <w:ind w:firstLine="0"/>
              <w:rPr>
                <w:rFonts w:hint="eastAsia" w:ascii="宋体" w:hAnsi="宋体"/>
                <w:szCs w:val="21"/>
              </w:rPr>
            </w:pPr>
            <w:r>
              <w:rPr>
                <w:rFonts w:hint="eastAsia" w:ascii="宋体" w:hAnsi="宋体"/>
                <w:szCs w:val="21"/>
              </w:rPr>
              <w:t>其他</w:t>
            </w:r>
          </w:p>
        </w:tc>
        <w:tc>
          <w:tcPr>
            <w:tcW w:w="2856" w:type="dxa"/>
          </w:tcPr>
          <w:p w14:paraId="753682BB">
            <w:pPr>
              <w:jc w:val="right"/>
              <w:rPr>
                <w:sz w:val="21"/>
                <w:szCs w:val="21"/>
              </w:rPr>
            </w:pPr>
          </w:p>
        </w:tc>
      </w:tr>
      <w:tr w14:paraId="4C071D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21" w:type="dxa"/>
            <w:vAlign w:val="center"/>
          </w:tcPr>
          <w:p w14:paraId="52F9B804">
            <w:pPr>
              <w:jc w:val="center"/>
              <w:rPr>
                <w:rFonts w:ascii="Arial Narrow" w:hAnsi="Arial Narrow" w:cs="Arial Narrow"/>
                <w:sz w:val="20"/>
              </w:rPr>
            </w:pPr>
            <w:r>
              <w:rPr>
                <w:rFonts w:ascii="Arial Narrow" w:hAnsi="Arial Narrow" w:cs="Arial Narrow"/>
                <w:sz w:val="20"/>
              </w:rPr>
              <w:t>10</w:t>
            </w:r>
          </w:p>
        </w:tc>
        <w:tc>
          <w:tcPr>
            <w:tcW w:w="2856" w:type="dxa"/>
            <w:vAlign w:val="center"/>
          </w:tcPr>
          <w:p w14:paraId="511557CE">
            <w:pPr>
              <w:pStyle w:val="4"/>
              <w:ind w:firstLine="0"/>
              <w:rPr>
                <w:rFonts w:hint="eastAsia" w:ascii="宋体" w:hAnsi="宋体"/>
                <w:b/>
                <w:szCs w:val="21"/>
              </w:rPr>
            </w:pPr>
            <w:r>
              <w:fldChar w:fldCharType="begin"/>
            </w:r>
            <w:r>
              <w:instrText xml:space="preserve"> HYPERLINK "file:///E:\\1资产评估\\1天健兴业\\0评估程序\\3评估报告模板\\1评估模板-feng\\2成本法评估明细表\\资产评估明细表（工贸企业）.xls" \l "分类汇总!B38" </w:instrText>
            </w:r>
            <w:r>
              <w:fldChar w:fldCharType="separate"/>
            </w:r>
            <w:r>
              <w:rPr>
                <w:rFonts w:hint="eastAsia" w:ascii="宋体" w:hAnsi="宋体"/>
                <w:szCs w:val="21"/>
              </w:rPr>
              <w:t>资产总计</w:t>
            </w:r>
            <w:r>
              <w:rPr>
                <w:rFonts w:hint="eastAsia" w:ascii="宋体" w:hAnsi="宋体"/>
                <w:szCs w:val="21"/>
              </w:rPr>
              <w:fldChar w:fldCharType="end"/>
            </w:r>
          </w:p>
        </w:tc>
        <w:tc>
          <w:tcPr>
            <w:tcW w:w="2856" w:type="dxa"/>
          </w:tcPr>
          <w:p w14:paraId="3AD65852">
            <w:pPr>
              <w:jc w:val="right"/>
              <w:rPr>
                <w:sz w:val="21"/>
                <w:szCs w:val="21"/>
              </w:rPr>
            </w:pPr>
            <w:r>
              <w:rPr>
                <w:sz w:val="21"/>
                <w:szCs w:val="21"/>
              </w:rPr>
              <w:t xml:space="preserve"> 1,924.95 </w:t>
            </w:r>
          </w:p>
        </w:tc>
      </w:tr>
      <w:tr w14:paraId="1094AC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21" w:type="dxa"/>
            <w:vAlign w:val="center"/>
          </w:tcPr>
          <w:p w14:paraId="48039DED">
            <w:pPr>
              <w:jc w:val="center"/>
              <w:rPr>
                <w:rFonts w:ascii="Arial Narrow" w:hAnsi="Arial Narrow" w:cs="Arial Narrow"/>
                <w:sz w:val="20"/>
              </w:rPr>
            </w:pPr>
            <w:r>
              <w:rPr>
                <w:rFonts w:ascii="Arial Narrow" w:hAnsi="Arial Narrow" w:cs="Arial Narrow"/>
                <w:sz w:val="20"/>
              </w:rPr>
              <w:t>11</w:t>
            </w:r>
          </w:p>
        </w:tc>
        <w:tc>
          <w:tcPr>
            <w:tcW w:w="2856" w:type="dxa"/>
            <w:vAlign w:val="center"/>
          </w:tcPr>
          <w:p w14:paraId="4DCE728D">
            <w:pPr>
              <w:pStyle w:val="4"/>
              <w:ind w:firstLine="0"/>
              <w:rPr>
                <w:rFonts w:hint="eastAsia" w:ascii="宋体" w:hAnsi="宋体"/>
                <w:b/>
                <w:szCs w:val="21"/>
              </w:rPr>
            </w:pPr>
            <w:r>
              <w:rPr>
                <w:rFonts w:hint="eastAsia" w:ascii="宋体" w:hAnsi="宋体"/>
                <w:szCs w:val="21"/>
              </w:rPr>
              <w:t>流动负债</w:t>
            </w:r>
          </w:p>
        </w:tc>
        <w:tc>
          <w:tcPr>
            <w:tcW w:w="2856" w:type="dxa"/>
          </w:tcPr>
          <w:p w14:paraId="040D62D1">
            <w:pPr>
              <w:jc w:val="right"/>
              <w:rPr>
                <w:sz w:val="21"/>
                <w:szCs w:val="21"/>
              </w:rPr>
            </w:pPr>
            <w:r>
              <w:rPr>
                <w:sz w:val="21"/>
                <w:szCs w:val="21"/>
              </w:rPr>
              <w:t xml:space="preserve"> 955.62 </w:t>
            </w:r>
          </w:p>
        </w:tc>
      </w:tr>
      <w:tr w14:paraId="38DE6DA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21" w:type="dxa"/>
            <w:vAlign w:val="center"/>
          </w:tcPr>
          <w:p w14:paraId="32A54DB8">
            <w:pPr>
              <w:jc w:val="center"/>
              <w:rPr>
                <w:rFonts w:ascii="Arial Narrow" w:hAnsi="Arial Narrow" w:cs="Arial Narrow"/>
                <w:sz w:val="20"/>
              </w:rPr>
            </w:pPr>
            <w:r>
              <w:rPr>
                <w:rFonts w:ascii="Arial Narrow" w:hAnsi="Arial Narrow" w:eastAsia="等线" w:cs="Arial Narrow"/>
                <w:sz w:val="20"/>
              </w:rPr>
              <w:t>12</w:t>
            </w:r>
          </w:p>
        </w:tc>
        <w:tc>
          <w:tcPr>
            <w:tcW w:w="2856" w:type="dxa"/>
            <w:vAlign w:val="center"/>
          </w:tcPr>
          <w:p w14:paraId="0AA34ED5">
            <w:pPr>
              <w:pStyle w:val="4"/>
              <w:ind w:firstLine="0"/>
              <w:rPr>
                <w:rFonts w:hint="eastAsia" w:ascii="宋体" w:hAnsi="宋体"/>
                <w:b/>
                <w:szCs w:val="21"/>
              </w:rPr>
            </w:pPr>
            <w:r>
              <w:rPr>
                <w:rFonts w:hint="eastAsia" w:ascii="宋体" w:hAnsi="宋体"/>
                <w:szCs w:val="21"/>
              </w:rPr>
              <w:t>非流动负债</w:t>
            </w:r>
          </w:p>
        </w:tc>
        <w:tc>
          <w:tcPr>
            <w:tcW w:w="2856" w:type="dxa"/>
          </w:tcPr>
          <w:p w14:paraId="361403B1">
            <w:pPr>
              <w:jc w:val="right"/>
              <w:rPr>
                <w:sz w:val="21"/>
                <w:szCs w:val="21"/>
              </w:rPr>
            </w:pPr>
            <w:r>
              <w:rPr>
                <w:sz w:val="21"/>
                <w:szCs w:val="21"/>
              </w:rPr>
              <w:t xml:space="preserve"> -   </w:t>
            </w:r>
          </w:p>
        </w:tc>
      </w:tr>
      <w:tr w14:paraId="1C9837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21" w:type="dxa"/>
            <w:vAlign w:val="center"/>
          </w:tcPr>
          <w:p w14:paraId="4820622D">
            <w:pPr>
              <w:jc w:val="center"/>
              <w:rPr>
                <w:rFonts w:ascii="Arial Narrow" w:hAnsi="Arial Narrow" w:cs="Arial Narrow"/>
                <w:sz w:val="20"/>
              </w:rPr>
            </w:pPr>
            <w:r>
              <w:rPr>
                <w:rFonts w:ascii="Arial Narrow" w:hAnsi="Arial Narrow" w:eastAsia="等线" w:cs="Arial Narrow"/>
                <w:sz w:val="20"/>
              </w:rPr>
              <w:t>13</w:t>
            </w:r>
          </w:p>
        </w:tc>
        <w:tc>
          <w:tcPr>
            <w:tcW w:w="2856" w:type="dxa"/>
            <w:vAlign w:val="center"/>
          </w:tcPr>
          <w:p w14:paraId="1D632407">
            <w:pPr>
              <w:pStyle w:val="4"/>
              <w:ind w:firstLine="0"/>
              <w:rPr>
                <w:rFonts w:hint="eastAsia" w:ascii="宋体" w:hAnsi="宋体"/>
                <w:b/>
                <w:szCs w:val="21"/>
              </w:rPr>
            </w:pPr>
            <w:r>
              <w:rPr>
                <w:rFonts w:hint="eastAsia" w:ascii="宋体" w:hAnsi="宋体"/>
                <w:szCs w:val="21"/>
              </w:rPr>
              <w:t>负债总计</w:t>
            </w:r>
          </w:p>
        </w:tc>
        <w:tc>
          <w:tcPr>
            <w:tcW w:w="2856" w:type="dxa"/>
          </w:tcPr>
          <w:p w14:paraId="7F69E58C">
            <w:pPr>
              <w:jc w:val="right"/>
              <w:rPr>
                <w:sz w:val="21"/>
                <w:szCs w:val="21"/>
              </w:rPr>
            </w:pPr>
            <w:r>
              <w:rPr>
                <w:sz w:val="21"/>
                <w:szCs w:val="21"/>
              </w:rPr>
              <w:t xml:space="preserve"> 955.62 </w:t>
            </w:r>
          </w:p>
        </w:tc>
      </w:tr>
      <w:tr w14:paraId="17E811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21" w:type="dxa"/>
            <w:vAlign w:val="center"/>
          </w:tcPr>
          <w:p w14:paraId="168B8038">
            <w:pPr>
              <w:jc w:val="center"/>
              <w:rPr>
                <w:rFonts w:ascii="Arial Narrow" w:hAnsi="Arial Narrow" w:cs="Arial Narrow"/>
                <w:sz w:val="20"/>
              </w:rPr>
            </w:pPr>
            <w:r>
              <w:rPr>
                <w:rFonts w:ascii="Arial Narrow" w:hAnsi="Arial Narrow" w:eastAsia="等线" w:cs="Arial Narrow"/>
                <w:sz w:val="20"/>
              </w:rPr>
              <w:t>14</w:t>
            </w:r>
          </w:p>
        </w:tc>
        <w:tc>
          <w:tcPr>
            <w:tcW w:w="2856" w:type="dxa"/>
            <w:vAlign w:val="center"/>
          </w:tcPr>
          <w:p w14:paraId="00C29726">
            <w:pPr>
              <w:pStyle w:val="4"/>
              <w:ind w:firstLine="0"/>
              <w:rPr>
                <w:rFonts w:hint="eastAsia" w:ascii="宋体" w:hAnsi="宋体"/>
                <w:b/>
                <w:szCs w:val="21"/>
              </w:rPr>
            </w:pPr>
            <w:r>
              <w:rPr>
                <w:rFonts w:hint="eastAsia" w:ascii="宋体" w:hAnsi="宋体"/>
                <w:szCs w:val="21"/>
              </w:rPr>
              <w:t>净资产</w:t>
            </w:r>
          </w:p>
        </w:tc>
        <w:tc>
          <w:tcPr>
            <w:tcW w:w="2856" w:type="dxa"/>
          </w:tcPr>
          <w:p w14:paraId="442D4620">
            <w:pPr>
              <w:jc w:val="right"/>
              <w:rPr>
                <w:sz w:val="21"/>
                <w:szCs w:val="21"/>
              </w:rPr>
            </w:pPr>
            <w:r>
              <w:rPr>
                <w:sz w:val="21"/>
                <w:szCs w:val="21"/>
              </w:rPr>
              <w:t xml:space="preserve"> 969.33 </w:t>
            </w:r>
          </w:p>
        </w:tc>
      </w:tr>
    </w:tbl>
    <w:p w14:paraId="3CFD7C57">
      <w:pPr>
        <w:pStyle w:val="4"/>
        <w:tabs>
          <w:tab w:val="left" w:pos="840"/>
        </w:tabs>
        <w:spacing w:before="120" w:beforeLines="50" w:line="360" w:lineRule="auto"/>
        <w:ind w:firstLine="0"/>
        <w:jc w:val="left"/>
        <w:rPr>
          <w:rFonts w:ascii="Arial Narrow" w:hAnsi="Arial Narrow" w:cs="Arial Narrow"/>
          <w:sz w:val="20"/>
        </w:rPr>
      </w:pPr>
    </w:p>
    <w:p w14:paraId="6397F909">
      <w:pPr>
        <w:pStyle w:val="4"/>
        <w:numPr>
          <w:ilvl w:val="0"/>
          <w:numId w:val="9"/>
        </w:numPr>
        <w:snapToGrid w:val="0"/>
        <w:spacing w:line="360" w:lineRule="auto"/>
        <w:ind w:left="0" w:firstLine="480" w:firstLineChars="200"/>
        <w:rPr>
          <w:rFonts w:hint="eastAsia" w:ascii="宋体" w:hAnsi="宋体"/>
          <w:sz w:val="24"/>
          <w:szCs w:val="24"/>
        </w:rPr>
      </w:pPr>
      <w:r>
        <w:rPr>
          <w:rFonts w:hint="eastAsia" w:ascii="宋体" w:hAnsi="宋体"/>
          <w:sz w:val="24"/>
          <w:szCs w:val="24"/>
        </w:rPr>
        <w:t>委托人和被评估单位已承诺委托评估对象和评估范围与经济行为所涉及的评估对象和评估范围一致，且经马鞍山滨江会计师事务所（普通合伙）审计，并出具</w:t>
      </w:r>
      <w:r>
        <w:rPr>
          <w:rFonts w:hint="eastAsia" w:ascii="宋体" w:hAnsi="宋体"/>
          <w:sz w:val="24"/>
          <w:szCs w:val="24"/>
          <w:highlight w:val="yellow"/>
        </w:rPr>
        <w:t>×××</w:t>
      </w:r>
      <w:r>
        <w:rPr>
          <w:rFonts w:hint="eastAsia" w:ascii="宋体" w:hAnsi="宋体"/>
          <w:sz w:val="24"/>
          <w:szCs w:val="24"/>
        </w:rPr>
        <w:t>号无保留意见审计报告。</w:t>
      </w:r>
    </w:p>
    <w:bookmarkEnd w:id="51"/>
    <w:p w14:paraId="5839A988">
      <w:pPr>
        <w:pStyle w:val="4"/>
        <w:numPr>
          <w:ilvl w:val="0"/>
          <w:numId w:val="9"/>
        </w:numPr>
        <w:snapToGrid w:val="0"/>
        <w:spacing w:line="360" w:lineRule="auto"/>
        <w:ind w:left="0" w:firstLine="480" w:firstLineChars="200"/>
        <w:rPr>
          <w:rFonts w:hint="eastAsia" w:ascii="宋体" w:hAnsi="宋体"/>
          <w:sz w:val="24"/>
          <w:szCs w:val="24"/>
        </w:rPr>
      </w:pPr>
      <w:bookmarkStart w:id="52" w:name="_Toc372060771"/>
      <w:bookmarkStart w:id="53" w:name="_Toc433891576"/>
      <w:bookmarkStart w:id="54" w:name="_Toc233091214"/>
      <w:r>
        <w:rPr>
          <w:rFonts w:ascii="宋体" w:hAnsi="宋体"/>
          <w:sz w:val="24"/>
          <w:szCs w:val="24"/>
        </w:rPr>
        <w:t>企业申报表外资产的类型、数量</w:t>
      </w:r>
      <w:bookmarkEnd w:id="52"/>
      <w:bookmarkEnd w:id="53"/>
    </w:p>
    <w:p w14:paraId="3729A963">
      <w:pPr>
        <w:spacing w:line="360" w:lineRule="auto"/>
        <w:ind w:firstLine="480" w:firstLineChars="200"/>
        <w:rPr>
          <w:rFonts w:hint="eastAsia" w:cs="Arial Narrow" w:asciiTheme="minorEastAsia" w:hAnsiTheme="minorEastAsia" w:eastAsiaTheme="minorEastAsia"/>
          <w:sz w:val="24"/>
          <w:szCs w:val="24"/>
        </w:rPr>
      </w:pPr>
      <w:r>
        <w:rPr>
          <w:rFonts w:hint="eastAsia" w:cs="Arial Narrow" w:asciiTheme="minorEastAsia" w:hAnsiTheme="minorEastAsia" w:eastAsiaTheme="minorEastAsia"/>
          <w:sz w:val="24"/>
          <w:szCs w:val="24"/>
        </w:rPr>
        <w:t>截止本次评估基准日，和县飞雁无申报的表外资产。</w:t>
      </w:r>
    </w:p>
    <w:p w14:paraId="545412C8">
      <w:pPr>
        <w:pStyle w:val="4"/>
        <w:numPr>
          <w:ilvl w:val="0"/>
          <w:numId w:val="9"/>
        </w:numPr>
        <w:snapToGrid w:val="0"/>
        <w:spacing w:line="360" w:lineRule="auto"/>
        <w:ind w:left="0" w:firstLine="480" w:firstLineChars="200"/>
        <w:rPr>
          <w:rFonts w:hint="eastAsia" w:ascii="宋体" w:hAnsi="宋体"/>
          <w:sz w:val="24"/>
          <w:szCs w:val="24"/>
        </w:rPr>
      </w:pPr>
      <w:bookmarkStart w:id="55" w:name="_Toc433891577"/>
      <w:r>
        <w:rPr>
          <w:rFonts w:ascii="宋体" w:hAnsi="宋体"/>
          <w:sz w:val="24"/>
          <w:szCs w:val="24"/>
        </w:rPr>
        <w:t>引用其他机构报告</w:t>
      </w:r>
      <w:bookmarkEnd w:id="55"/>
    </w:p>
    <w:p w14:paraId="38615800">
      <w:pPr>
        <w:pStyle w:val="4"/>
        <w:snapToGrid w:val="0"/>
        <w:spacing w:line="360" w:lineRule="auto"/>
        <w:ind w:firstLine="424" w:firstLineChars="177"/>
        <w:rPr>
          <w:rFonts w:hint="eastAsia" w:ascii="宋体" w:hAnsi="宋体"/>
          <w:sz w:val="24"/>
          <w:szCs w:val="24"/>
        </w:rPr>
      </w:pPr>
      <w:r>
        <w:rPr>
          <w:rFonts w:hint="eastAsia" w:ascii="宋体" w:hAnsi="宋体"/>
          <w:sz w:val="24"/>
          <w:szCs w:val="24"/>
        </w:rPr>
        <w:t>本次评估引用了马鞍山滨江会计师事务所（普通合伙）出具的审计报告结论数据作为本次评估账面值。</w:t>
      </w:r>
    </w:p>
    <w:bookmarkEnd w:id="37"/>
    <w:bookmarkEnd w:id="38"/>
    <w:bookmarkEnd w:id="39"/>
    <w:bookmarkEnd w:id="40"/>
    <w:bookmarkEnd w:id="41"/>
    <w:bookmarkEnd w:id="42"/>
    <w:bookmarkEnd w:id="43"/>
    <w:bookmarkEnd w:id="44"/>
    <w:bookmarkEnd w:id="45"/>
    <w:bookmarkEnd w:id="46"/>
    <w:bookmarkEnd w:id="47"/>
    <w:bookmarkEnd w:id="54"/>
    <w:p w14:paraId="0979CD92">
      <w:pPr>
        <w:pStyle w:val="3"/>
        <w:numPr>
          <w:ilvl w:val="0"/>
          <w:numId w:val="5"/>
        </w:numPr>
        <w:tabs>
          <w:tab w:val="left" w:pos="1134"/>
          <w:tab w:val="left" w:pos="1276"/>
          <w:tab w:val="left" w:pos="1725"/>
        </w:tabs>
        <w:spacing w:before="240" w:after="0" w:line="360" w:lineRule="auto"/>
        <w:ind w:left="0" w:firstLine="562" w:firstLineChars="200"/>
        <w:rPr>
          <w:rFonts w:ascii="Arial Narrow" w:hAnsi="Arial Narrow" w:cs="Arial Narrow"/>
          <w:sz w:val="28"/>
          <w:szCs w:val="28"/>
        </w:rPr>
      </w:pPr>
      <w:bookmarkStart w:id="56" w:name="_Toc306543386"/>
      <w:bookmarkEnd w:id="56"/>
      <w:bookmarkStart w:id="57" w:name="_Toc5943"/>
      <w:bookmarkStart w:id="58" w:name="_Toc508451368"/>
      <w:bookmarkStart w:id="59" w:name="_Toc433891579"/>
      <w:r>
        <w:rPr>
          <w:rFonts w:ascii="Arial Narrow" w:hAnsi="Arial Narrow" w:cs="Arial Narrow"/>
          <w:sz w:val="28"/>
          <w:szCs w:val="28"/>
        </w:rPr>
        <w:t>价值类型及其定义</w:t>
      </w:r>
      <w:bookmarkEnd w:id="57"/>
      <w:bookmarkEnd w:id="58"/>
      <w:bookmarkEnd w:id="59"/>
    </w:p>
    <w:p w14:paraId="20D01E27">
      <w:pPr>
        <w:spacing w:line="360" w:lineRule="auto"/>
        <w:ind w:firstLine="480" w:firstLineChars="200"/>
        <w:rPr>
          <w:rFonts w:ascii="Arial Narrow" w:hAnsi="Arial Narrow" w:cs="Arial Narrow"/>
          <w:sz w:val="24"/>
          <w:szCs w:val="24"/>
        </w:rPr>
      </w:pPr>
      <w:r>
        <w:rPr>
          <w:rFonts w:ascii="Arial Narrow" w:hAnsi="Arial Narrow" w:cs="Arial Narrow"/>
          <w:sz w:val="24"/>
          <w:szCs w:val="24"/>
        </w:rPr>
        <w:t>根据评估目的、市场条件、评估对象自身条件等因素，同时考虑价值类型与评估假设的相关性等，确定本次资产评估的价值类型为：</w:t>
      </w:r>
      <w:r>
        <w:rPr>
          <w:rFonts w:hint="eastAsia" w:cs="Arial Narrow" w:asciiTheme="minorEastAsia" w:hAnsiTheme="minorEastAsia" w:eastAsiaTheme="minorEastAsia"/>
          <w:sz w:val="24"/>
          <w:szCs w:val="24"/>
        </w:rPr>
        <w:t>投资</w:t>
      </w:r>
      <w:r>
        <w:rPr>
          <w:rFonts w:ascii="Arial Narrow" w:hAnsi="Arial Narrow" w:cs="Arial Narrow"/>
          <w:sz w:val="24"/>
          <w:szCs w:val="24"/>
        </w:rPr>
        <w:t>价值。</w:t>
      </w:r>
    </w:p>
    <w:p w14:paraId="6B2175EA">
      <w:pPr>
        <w:spacing w:line="360" w:lineRule="auto"/>
        <w:ind w:firstLine="480" w:firstLineChars="200"/>
        <w:rPr>
          <w:rFonts w:ascii="Arial Narrow" w:hAnsi="Arial Narrow" w:cs="Arial Narrow"/>
          <w:sz w:val="24"/>
          <w:szCs w:val="24"/>
        </w:rPr>
      </w:pPr>
      <w:r>
        <w:rPr>
          <w:rFonts w:hint="eastAsia" w:ascii="Arial Narrow" w:hAnsi="Arial Narrow" w:cs="Arial Narrow"/>
          <w:sz w:val="24"/>
          <w:szCs w:val="24"/>
        </w:rPr>
        <w:t>本报告书所称市场价值是指自愿买方和自愿卖方在各自理性行事且未受任何强迫的情况下，评估对象在评估基准日进行正常公平交易的价值估计数额。</w:t>
      </w:r>
    </w:p>
    <w:p w14:paraId="7DB5713D">
      <w:pPr>
        <w:pStyle w:val="3"/>
        <w:numPr>
          <w:ilvl w:val="0"/>
          <w:numId w:val="5"/>
        </w:numPr>
        <w:tabs>
          <w:tab w:val="left" w:pos="1134"/>
          <w:tab w:val="left" w:pos="1276"/>
          <w:tab w:val="left" w:pos="1725"/>
        </w:tabs>
        <w:spacing w:before="240" w:after="0" w:line="360" w:lineRule="auto"/>
        <w:ind w:left="0" w:firstLine="562" w:firstLineChars="200"/>
        <w:rPr>
          <w:rFonts w:ascii="Arial Narrow" w:hAnsi="Arial Narrow" w:cs="Arial Narrow"/>
          <w:sz w:val="28"/>
          <w:szCs w:val="28"/>
        </w:rPr>
      </w:pPr>
      <w:bookmarkStart w:id="60" w:name="_Toc10332"/>
      <w:bookmarkStart w:id="61" w:name="_Toc433891580"/>
      <w:bookmarkStart w:id="62" w:name="_Toc508451369"/>
      <w:r>
        <w:rPr>
          <w:rFonts w:ascii="Arial Narrow" w:hAnsi="Arial Narrow" w:cs="Arial Narrow"/>
          <w:sz w:val="28"/>
          <w:szCs w:val="28"/>
        </w:rPr>
        <w:t>评估基准日</w:t>
      </w:r>
      <w:bookmarkEnd w:id="60"/>
      <w:bookmarkEnd w:id="61"/>
      <w:bookmarkEnd w:id="62"/>
    </w:p>
    <w:p w14:paraId="34C62C45">
      <w:pPr>
        <w:spacing w:line="360" w:lineRule="auto"/>
        <w:ind w:firstLine="480" w:firstLineChars="200"/>
        <w:rPr>
          <w:rFonts w:ascii="Arial Narrow" w:hAnsi="Arial Narrow" w:cs="Arial Narrow"/>
          <w:sz w:val="24"/>
          <w:szCs w:val="24"/>
        </w:rPr>
      </w:pPr>
      <w:r>
        <w:rPr>
          <w:rFonts w:ascii="Arial Narrow" w:hAnsi="Arial Narrow" w:cs="Arial Narrow"/>
          <w:sz w:val="24"/>
          <w:szCs w:val="24"/>
        </w:rPr>
        <w:t>本项目资产评估基准日是</w:t>
      </w:r>
      <w:r>
        <w:rPr>
          <w:rFonts w:cs="Arial Narrow" w:asciiTheme="minorEastAsia" w:hAnsiTheme="minorEastAsia" w:eastAsiaTheme="minorEastAsia"/>
          <w:sz w:val="24"/>
          <w:szCs w:val="24"/>
        </w:rPr>
        <w:t>2025年</w:t>
      </w:r>
      <w:r>
        <w:rPr>
          <w:rFonts w:hint="eastAsia" w:cs="Arial Narrow" w:asciiTheme="minorEastAsia" w:hAnsiTheme="minorEastAsia" w:eastAsiaTheme="minorEastAsia"/>
          <w:sz w:val="24"/>
          <w:szCs w:val="24"/>
        </w:rPr>
        <w:t>8</w:t>
      </w:r>
      <w:r>
        <w:rPr>
          <w:rFonts w:cs="Arial Narrow" w:asciiTheme="minorEastAsia" w:hAnsiTheme="minorEastAsia" w:eastAsiaTheme="minorEastAsia"/>
          <w:sz w:val="24"/>
          <w:szCs w:val="24"/>
        </w:rPr>
        <w:t>月31日</w:t>
      </w:r>
      <w:r>
        <w:rPr>
          <w:rFonts w:ascii="Arial Narrow" w:hAnsi="Arial Narrow" w:cs="Arial Narrow"/>
          <w:sz w:val="24"/>
          <w:szCs w:val="24"/>
        </w:rPr>
        <w:t>。</w:t>
      </w:r>
    </w:p>
    <w:p w14:paraId="319D1754">
      <w:pPr>
        <w:spacing w:line="360" w:lineRule="auto"/>
        <w:ind w:firstLine="480" w:firstLineChars="200"/>
        <w:rPr>
          <w:rFonts w:ascii="Arial Narrow" w:hAnsi="Arial Narrow" w:cs="Arial Narrow"/>
          <w:sz w:val="24"/>
          <w:szCs w:val="24"/>
        </w:rPr>
      </w:pPr>
      <w:r>
        <w:rPr>
          <w:rFonts w:ascii="Arial Narrow" w:hAnsi="Arial Narrow" w:cs="Arial Narrow"/>
          <w:sz w:val="24"/>
          <w:szCs w:val="24"/>
        </w:rPr>
        <w:t>本次资产评估基准日的确定是根据相关经济行为的安排，本着有利于保证评估结果有效地服务于评估目的，减少和避免评估基准日后的调整事项，经</w:t>
      </w:r>
      <w:r>
        <w:rPr>
          <w:rFonts w:hint="eastAsia" w:ascii="Arial Narrow" w:hAnsi="Arial Narrow" w:cs="Arial Narrow"/>
          <w:sz w:val="24"/>
          <w:szCs w:val="24"/>
        </w:rPr>
        <w:t>委托人</w:t>
      </w:r>
      <w:r>
        <w:rPr>
          <w:rFonts w:ascii="Arial Narrow" w:hAnsi="Arial Narrow" w:cs="Arial Narrow"/>
          <w:sz w:val="24"/>
          <w:szCs w:val="24"/>
        </w:rPr>
        <w:t>与评估机构协商确定的。</w:t>
      </w:r>
    </w:p>
    <w:p w14:paraId="7294B732">
      <w:pPr>
        <w:pStyle w:val="3"/>
        <w:numPr>
          <w:ilvl w:val="0"/>
          <w:numId w:val="5"/>
        </w:numPr>
        <w:tabs>
          <w:tab w:val="left" w:pos="1134"/>
          <w:tab w:val="left" w:pos="1276"/>
          <w:tab w:val="left" w:pos="1725"/>
        </w:tabs>
        <w:spacing w:before="240" w:after="0" w:line="360" w:lineRule="auto"/>
        <w:ind w:left="0" w:firstLine="562" w:firstLineChars="200"/>
        <w:rPr>
          <w:rFonts w:ascii="Arial Narrow" w:hAnsi="Arial Narrow" w:cs="Arial Narrow"/>
          <w:sz w:val="28"/>
          <w:szCs w:val="28"/>
        </w:rPr>
      </w:pPr>
      <w:bookmarkStart w:id="63" w:name="_Toc508451370"/>
      <w:bookmarkStart w:id="64" w:name="_Toc433891581"/>
      <w:bookmarkStart w:id="65" w:name="_Toc14082"/>
      <w:r>
        <w:rPr>
          <w:rFonts w:ascii="Arial Narrow" w:hAnsi="Arial Narrow" w:cs="Arial Narrow"/>
          <w:sz w:val="28"/>
          <w:szCs w:val="28"/>
        </w:rPr>
        <w:t>评估依据</w:t>
      </w:r>
      <w:bookmarkEnd w:id="63"/>
      <w:bookmarkEnd w:id="64"/>
      <w:bookmarkEnd w:id="65"/>
    </w:p>
    <w:p w14:paraId="4E44F685">
      <w:pPr>
        <w:spacing w:line="360" w:lineRule="auto"/>
        <w:ind w:firstLine="480" w:firstLineChars="200"/>
        <w:rPr>
          <w:rFonts w:ascii="Arial Narrow" w:hAnsi="Arial Narrow" w:cs="Arial Narrow"/>
          <w:sz w:val="24"/>
          <w:szCs w:val="24"/>
        </w:rPr>
      </w:pPr>
      <w:bookmarkStart w:id="66" w:name="_Toc495555895"/>
      <w:bookmarkStart w:id="67" w:name="_Toc502117271"/>
      <w:bookmarkStart w:id="68" w:name="_Toc522509760"/>
      <w:bookmarkStart w:id="69" w:name="_Toc433891587"/>
      <w:bookmarkStart w:id="70" w:name="_Toc701"/>
      <w:bookmarkStart w:id="71" w:name="_Toc172251201"/>
      <w:r>
        <w:rPr>
          <w:rFonts w:ascii="Arial Narrow" w:hAnsi="Arial Narrow" w:cs="Arial Narrow"/>
          <w:sz w:val="24"/>
          <w:szCs w:val="24"/>
        </w:rPr>
        <w:t>在本次资产评估工作中我们所遵循的国家、地方政府和有关部门的法律法规，以及在评估中参考的文件资料主要有：</w:t>
      </w:r>
    </w:p>
    <w:p w14:paraId="46B221CF">
      <w:pPr>
        <w:pStyle w:val="5"/>
        <w:numPr>
          <w:ilvl w:val="0"/>
          <w:numId w:val="10"/>
        </w:numPr>
        <w:tabs>
          <w:tab w:val="clear" w:pos="1080"/>
        </w:tabs>
        <w:spacing w:before="120" w:beforeLines="50" w:after="0" w:line="360" w:lineRule="auto"/>
        <w:ind w:left="0" w:firstLine="482" w:firstLineChars="200"/>
        <w:rPr>
          <w:rFonts w:hint="eastAsia" w:cs="Arial Narrow" w:asciiTheme="minorEastAsia" w:hAnsiTheme="minorEastAsia" w:eastAsiaTheme="minorEastAsia"/>
          <w:sz w:val="24"/>
          <w:szCs w:val="24"/>
        </w:rPr>
      </w:pPr>
      <w:bookmarkStart w:id="72" w:name="_Toc433891582"/>
      <w:bookmarkStart w:id="73" w:name="_Toc372060776"/>
      <w:r>
        <w:rPr>
          <w:rFonts w:cs="Arial Narrow" w:asciiTheme="minorEastAsia" w:hAnsiTheme="minorEastAsia" w:eastAsiaTheme="minorEastAsia"/>
          <w:sz w:val="24"/>
          <w:szCs w:val="24"/>
        </w:rPr>
        <w:t>行为依据</w:t>
      </w:r>
      <w:bookmarkEnd w:id="72"/>
      <w:bookmarkEnd w:id="73"/>
    </w:p>
    <w:p w14:paraId="3AC7E5B4">
      <w:pPr>
        <w:numPr>
          <w:ilvl w:val="0"/>
          <w:numId w:val="11"/>
        </w:numPr>
        <w:tabs>
          <w:tab w:val="left" w:pos="900"/>
        </w:tabs>
        <w:spacing w:line="360" w:lineRule="auto"/>
        <w:ind w:firstLine="480" w:firstLineChars="200"/>
        <w:rPr>
          <w:rFonts w:ascii="Arial Narrow" w:hAnsi="Arial Narrow" w:cs="Arial Narrow"/>
          <w:sz w:val="24"/>
          <w:szCs w:val="24"/>
        </w:rPr>
      </w:pPr>
      <w:r>
        <w:rPr>
          <w:rFonts w:hint="eastAsia" w:cs="Arial Narrow" w:asciiTheme="minorEastAsia" w:hAnsiTheme="minorEastAsia" w:eastAsiaTheme="minorEastAsia"/>
          <w:sz w:val="24"/>
          <w:szCs w:val="24"/>
        </w:rPr>
        <w:t>巢湖汽运</w:t>
      </w:r>
      <w:r>
        <w:rPr>
          <w:rFonts w:cs="Arial Narrow" w:asciiTheme="minorEastAsia" w:hAnsiTheme="minorEastAsia" w:eastAsiaTheme="minorEastAsia"/>
          <w:sz w:val="24"/>
          <w:szCs w:val="24"/>
        </w:rPr>
        <w:t>出具的《资产评估委托函》</w:t>
      </w:r>
      <w:r>
        <w:rPr>
          <w:rFonts w:hint="eastAsia" w:cs="Arial Narrow" w:asciiTheme="minorEastAsia" w:hAnsiTheme="minorEastAsia" w:eastAsiaTheme="minorEastAsia"/>
          <w:sz w:val="24"/>
          <w:szCs w:val="24"/>
        </w:rPr>
        <w:t>；</w:t>
      </w:r>
    </w:p>
    <w:p w14:paraId="21C40CA0">
      <w:pPr>
        <w:numPr>
          <w:ilvl w:val="0"/>
          <w:numId w:val="11"/>
        </w:numPr>
        <w:tabs>
          <w:tab w:val="left" w:pos="900"/>
        </w:tabs>
        <w:spacing w:line="360" w:lineRule="auto"/>
        <w:ind w:firstLine="480" w:firstLineChars="200"/>
        <w:rPr>
          <w:rFonts w:ascii="Arial Narrow" w:hAnsi="Arial Narrow" w:cs="Arial Narrow"/>
          <w:sz w:val="24"/>
          <w:szCs w:val="24"/>
        </w:rPr>
      </w:pPr>
      <w:bookmarkStart w:id="74" w:name="_Hlk499762078"/>
      <w:r>
        <w:rPr>
          <w:rFonts w:hint="eastAsia" w:ascii="Arial Narrow" w:hAnsi="Arial Narrow" w:cs="Arial Narrow"/>
          <w:sz w:val="24"/>
          <w:szCs w:val="24"/>
        </w:rPr>
        <w:t>资产评估委托合同</w:t>
      </w:r>
      <w:r>
        <w:rPr>
          <w:rFonts w:ascii="Arial Narrow" w:hAnsi="Arial Narrow" w:cs="Arial Narrow"/>
          <w:sz w:val="24"/>
          <w:szCs w:val="24"/>
        </w:rPr>
        <w:t>。</w:t>
      </w:r>
    </w:p>
    <w:bookmarkEnd w:id="74"/>
    <w:p w14:paraId="79250E9E">
      <w:pPr>
        <w:pStyle w:val="5"/>
        <w:numPr>
          <w:ilvl w:val="0"/>
          <w:numId w:val="10"/>
        </w:numPr>
        <w:tabs>
          <w:tab w:val="clear" w:pos="1080"/>
        </w:tabs>
        <w:spacing w:before="120" w:beforeLines="50" w:after="0" w:line="360" w:lineRule="auto"/>
        <w:ind w:left="0" w:firstLine="482" w:firstLineChars="200"/>
        <w:rPr>
          <w:rFonts w:hint="eastAsia" w:cs="Arial Narrow" w:asciiTheme="minorEastAsia" w:hAnsiTheme="minorEastAsia" w:eastAsiaTheme="minorEastAsia"/>
          <w:sz w:val="24"/>
          <w:szCs w:val="24"/>
        </w:rPr>
      </w:pPr>
      <w:bookmarkStart w:id="75" w:name="_Toc143578291"/>
      <w:bookmarkStart w:id="76" w:name="_Toc113244878"/>
      <w:bookmarkStart w:id="77" w:name="_Toc213846101"/>
      <w:bookmarkStart w:id="78" w:name="_Toc80893259"/>
      <w:bookmarkStart w:id="79" w:name="_Toc113332682"/>
      <w:r>
        <w:rPr>
          <w:rFonts w:hint="eastAsia" w:cs="Arial Narrow" w:asciiTheme="minorEastAsia" w:hAnsiTheme="minorEastAsia" w:eastAsiaTheme="minorEastAsia"/>
          <w:sz w:val="24"/>
          <w:szCs w:val="24"/>
        </w:rPr>
        <w:t>法律法规依据</w:t>
      </w:r>
      <w:bookmarkEnd w:id="75"/>
      <w:bookmarkEnd w:id="76"/>
      <w:bookmarkEnd w:id="77"/>
      <w:bookmarkEnd w:id="78"/>
      <w:bookmarkEnd w:id="79"/>
    </w:p>
    <w:p w14:paraId="1DAEC1F4">
      <w:pPr>
        <w:pStyle w:val="4"/>
        <w:numPr>
          <w:ilvl w:val="0"/>
          <w:numId w:val="12"/>
        </w:numPr>
        <w:snapToGrid w:val="0"/>
        <w:spacing w:before="60" w:after="60" w:line="360" w:lineRule="auto"/>
        <w:ind w:left="0" w:firstLine="480" w:firstLineChars="200"/>
        <w:textAlignment w:val="baseline"/>
        <w:rPr>
          <w:rFonts w:hint="eastAsia" w:cs="Arial Narrow" w:asciiTheme="minorEastAsia" w:hAnsiTheme="minorEastAsia" w:eastAsiaTheme="minorEastAsia"/>
          <w:color w:val="000000"/>
          <w:kern w:val="0"/>
          <w:sz w:val="24"/>
          <w:szCs w:val="24"/>
        </w:rPr>
      </w:pPr>
      <w:r>
        <w:rPr>
          <w:rFonts w:hint="eastAsia" w:ascii="Arial Narrow" w:hAnsi="Arial Narrow" w:cs="Arial Narrow"/>
          <w:color w:val="000000"/>
          <w:kern w:val="0"/>
          <w:sz w:val="24"/>
          <w:szCs w:val="24"/>
        </w:rPr>
        <w:t>《中华人民共和国资产评估法》</w:t>
      </w:r>
      <w:r>
        <w:rPr>
          <w:rFonts w:hint="eastAsia" w:cs="Arial Narrow" w:asciiTheme="minorEastAsia" w:hAnsiTheme="minorEastAsia" w:eastAsiaTheme="minorEastAsia"/>
          <w:color w:val="000000"/>
          <w:kern w:val="0"/>
          <w:sz w:val="24"/>
          <w:szCs w:val="24"/>
        </w:rPr>
        <w:t>（2016年7月2日第十二届全国人民代表大会常务委员会第二十一次会议通过）；</w:t>
      </w:r>
    </w:p>
    <w:p w14:paraId="54537F89">
      <w:pPr>
        <w:pStyle w:val="4"/>
        <w:numPr>
          <w:ilvl w:val="0"/>
          <w:numId w:val="12"/>
        </w:numPr>
        <w:snapToGrid w:val="0"/>
        <w:spacing w:before="60" w:after="60" w:line="360" w:lineRule="auto"/>
        <w:ind w:left="0" w:firstLine="480" w:firstLineChars="200"/>
        <w:textAlignment w:val="baseline"/>
        <w:rPr>
          <w:rFonts w:hint="eastAsia" w:cs="Arial Narrow" w:asciiTheme="minorEastAsia" w:hAnsiTheme="minorEastAsia" w:eastAsiaTheme="minorEastAsia"/>
          <w:color w:val="000000"/>
          <w:kern w:val="0"/>
          <w:sz w:val="24"/>
          <w:szCs w:val="24"/>
        </w:rPr>
      </w:pPr>
      <w:r>
        <w:rPr>
          <w:rFonts w:ascii="Arial" w:hAnsi="Arial" w:cs="Arial"/>
          <w:sz w:val="24"/>
        </w:rPr>
        <w:t>《财政部关于贯彻实施&lt;中华人民共和国资产评估法&gt;的通知》（财资﹝2016﹞93号）；</w:t>
      </w:r>
    </w:p>
    <w:p w14:paraId="22509911">
      <w:pPr>
        <w:pStyle w:val="4"/>
        <w:numPr>
          <w:ilvl w:val="0"/>
          <w:numId w:val="12"/>
        </w:numPr>
        <w:snapToGrid w:val="0"/>
        <w:spacing w:before="60" w:after="60" w:line="360" w:lineRule="auto"/>
        <w:ind w:left="0" w:firstLine="480" w:firstLineChars="200"/>
        <w:textAlignment w:val="baseline"/>
        <w:rPr>
          <w:rFonts w:hint="eastAsia" w:cs="Arial Narrow" w:asciiTheme="minorEastAsia" w:hAnsiTheme="minorEastAsia" w:eastAsiaTheme="minorEastAsia"/>
          <w:color w:val="000000"/>
          <w:kern w:val="0"/>
          <w:sz w:val="24"/>
          <w:szCs w:val="24"/>
        </w:rPr>
      </w:pPr>
      <w:r>
        <w:rPr>
          <w:rFonts w:hint="eastAsia" w:cs="Arial Narrow" w:asciiTheme="minorEastAsia" w:hAnsiTheme="minorEastAsia" w:eastAsiaTheme="minorEastAsia"/>
          <w:color w:val="000000"/>
          <w:kern w:val="0"/>
          <w:sz w:val="24"/>
          <w:szCs w:val="24"/>
        </w:rPr>
        <w:t>《中华人民共和国公司法》（2018年10月26日第十三届全国人民代表大会常务委员会第六次会议第四次修正）；</w:t>
      </w:r>
    </w:p>
    <w:p w14:paraId="090CE30B">
      <w:pPr>
        <w:pStyle w:val="4"/>
        <w:numPr>
          <w:ilvl w:val="0"/>
          <w:numId w:val="12"/>
        </w:numPr>
        <w:snapToGrid w:val="0"/>
        <w:spacing w:before="60" w:after="60" w:line="360" w:lineRule="auto"/>
        <w:ind w:left="0" w:firstLine="480" w:firstLineChars="200"/>
        <w:textAlignment w:val="baseline"/>
        <w:rPr>
          <w:rFonts w:hint="eastAsia" w:cs="Arial Narrow" w:asciiTheme="minorEastAsia" w:hAnsiTheme="minorEastAsia" w:eastAsiaTheme="minorEastAsia"/>
          <w:color w:val="000000"/>
          <w:kern w:val="0"/>
          <w:sz w:val="24"/>
          <w:szCs w:val="24"/>
        </w:rPr>
      </w:pPr>
      <w:r>
        <w:rPr>
          <w:rFonts w:hint="eastAsia" w:cs="Arial Narrow" w:asciiTheme="minorEastAsia" w:hAnsiTheme="minorEastAsia" w:eastAsiaTheme="minorEastAsia"/>
          <w:color w:val="000000"/>
          <w:kern w:val="0"/>
          <w:sz w:val="24"/>
          <w:szCs w:val="24"/>
        </w:rPr>
        <w:t>《中华人民共和国民法典》（2020 年 5 月 28 日第十三届全国人民代表大会第三次会议通过）；</w:t>
      </w:r>
    </w:p>
    <w:p w14:paraId="4E6EC382">
      <w:pPr>
        <w:pStyle w:val="4"/>
        <w:numPr>
          <w:ilvl w:val="0"/>
          <w:numId w:val="12"/>
        </w:numPr>
        <w:snapToGrid w:val="0"/>
        <w:spacing w:before="60" w:after="60" w:line="360" w:lineRule="auto"/>
        <w:ind w:left="0" w:firstLine="480" w:firstLineChars="200"/>
        <w:textAlignment w:val="baseline"/>
        <w:rPr>
          <w:rFonts w:hint="eastAsia" w:cs="Arial Narrow" w:asciiTheme="minorEastAsia" w:hAnsiTheme="minorEastAsia" w:eastAsiaTheme="minorEastAsia"/>
          <w:color w:val="000000"/>
          <w:kern w:val="0"/>
          <w:sz w:val="24"/>
          <w:szCs w:val="24"/>
        </w:rPr>
      </w:pPr>
      <w:r>
        <w:rPr>
          <w:rFonts w:hint="eastAsia" w:cs="Arial Narrow" w:asciiTheme="minorEastAsia" w:hAnsiTheme="minorEastAsia" w:eastAsiaTheme="minorEastAsia"/>
          <w:color w:val="000000"/>
          <w:kern w:val="0"/>
          <w:sz w:val="24"/>
          <w:szCs w:val="24"/>
        </w:rPr>
        <w:t>财政部财会[2006]3号《企业会计准则（具体准则）》；</w:t>
      </w:r>
    </w:p>
    <w:p w14:paraId="0A4F3A01">
      <w:pPr>
        <w:pStyle w:val="4"/>
        <w:numPr>
          <w:ilvl w:val="0"/>
          <w:numId w:val="12"/>
        </w:numPr>
        <w:snapToGrid w:val="0"/>
        <w:spacing w:before="60" w:after="60" w:line="360" w:lineRule="auto"/>
        <w:ind w:left="0" w:firstLine="480" w:firstLineChars="200"/>
        <w:textAlignment w:val="baseline"/>
        <w:rPr>
          <w:rFonts w:hint="eastAsia" w:cs="Arial Narrow" w:asciiTheme="minorEastAsia" w:hAnsiTheme="minorEastAsia" w:eastAsiaTheme="minorEastAsia"/>
          <w:color w:val="000000"/>
          <w:kern w:val="0"/>
          <w:sz w:val="24"/>
          <w:szCs w:val="24"/>
        </w:rPr>
      </w:pPr>
      <w:r>
        <w:rPr>
          <w:rFonts w:hint="eastAsia" w:cs="Arial Narrow" w:asciiTheme="minorEastAsia" w:hAnsiTheme="minorEastAsia" w:eastAsiaTheme="minorEastAsia"/>
          <w:color w:val="000000"/>
          <w:kern w:val="0"/>
          <w:sz w:val="24"/>
          <w:szCs w:val="24"/>
        </w:rPr>
        <w:t>财政部、中国人民银行总行、国家税务局和原国家国有资产管理局制定的有关企业财务、会计、税收和资产管理方面的政策、法规</w:t>
      </w:r>
    </w:p>
    <w:p w14:paraId="1C7101CC">
      <w:pPr>
        <w:pStyle w:val="5"/>
        <w:numPr>
          <w:ilvl w:val="0"/>
          <w:numId w:val="10"/>
        </w:numPr>
        <w:tabs>
          <w:tab w:val="clear" w:pos="1080"/>
        </w:tabs>
        <w:spacing w:before="120" w:beforeLines="50" w:after="0" w:line="360" w:lineRule="auto"/>
        <w:ind w:left="0" w:firstLine="482" w:firstLineChars="200"/>
        <w:rPr>
          <w:rFonts w:hint="eastAsia" w:cs="Arial Narrow" w:asciiTheme="minorEastAsia" w:hAnsiTheme="minorEastAsia" w:eastAsiaTheme="minorEastAsia"/>
          <w:sz w:val="24"/>
          <w:szCs w:val="24"/>
        </w:rPr>
      </w:pPr>
      <w:bookmarkStart w:id="80" w:name="_Toc213846102"/>
      <w:r>
        <w:rPr>
          <w:rFonts w:hint="eastAsia" w:cs="Arial Narrow" w:asciiTheme="minorEastAsia" w:hAnsiTheme="minorEastAsia" w:eastAsiaTheme="minorEastAsia"/>
          <w:sz w:val="24"/>
          <w:szCs w:val="24"/>
        </w:rPr>
        <w:t>评估准则依据</w:t>
      </w:r>
      <w:bookmarkEnd w:id="80"/>
    </w:p>
    <w:p w14:paraId="365EA2E3">
      <w:pPr>
        <w:pStyle w:val="4"/>
        <w:numPr>
          <w:ilvl w:val="0"/>
          <w:numId w:val="13"/>
        </w:numPr>
        <w:spacing w:before="60" w:after="60" w:line="360" w:lineRule="auto"/>
        <w:ind w:left="0" w:firstLine="480" w:firstLineChars="200"/>
        <w:textAlignment w:val="baseline"/>
        <w:rPr>
          <w:rFonts w:hint="eastAsia" w:cs="Arial Narrow" w:asciiTheme="minorEastAsia" w:hAnsiTheme="minorEastAsia" w:eastAsiaTheme="minorEastAsia"/>
          <w:color w:val="000000"/>
          <w:kern w:val="0"/>
          <w:sz w:val="24"/>
          <w:szCs w:val="24"/>
        </w:rPr>
      </w:pPr>
      <w:r>
        <w:rPr>
          <w:rFonts w:hint="eastAsia" w:cs="Arial Narrow" w:asciiTheme="minorEastAsia" w:hAnsiTheme="minorEastAsia" w:eastAsiaTheme="minorEastAsia"/>
          <w:color w:val="000000"/>
          <w:kern w:val="0"/>
          <w:sz w:val="24"/>
          <w:szCs w:val="24"/>
        </w:rPr>
        <w:t>《资产评估基本准则》（财资〔</w:t>
      </w:r>
      <w:r>
        <w:rPr>
          <w:rFonts w:cs="Arial Narrow" w:asciiTheme="minorEastAsia" w:hAnsiTheme="minorEastAsia" w:eastAsiaTheme="minorEastAsia"/>
          <w:color w:val="000000"/>
          <w:kern w:val="0"/>
          <w:sz w:val="24"/>
          <w:szCs w:val="24"/>
        </w:rPr>
        <w:t>2017</w:t>
      </w:r>
      <w:r>
        <w:rPr>
          <w:rFonts w:hint="eastAsia" w:cs="Arial Narrow" w:asciiTheme="minorEastAsia" w:hAnsiTheme="minorEastAsia" w:eastAsiaTheme="minorEastAsia"/>
          <w:color w:val="000000"/>
          <w:kern w:val="0"/>
          <w:sz w:val="24"/>
          <w:szCs w:val="24"/>
        </w:rPr>
        <w:t>〕</w:t>
      </w:r>
      <w:r>
        <w:rPr>
          <w:rFonts w:cs="Arial Narrow" w:asciiTheme="minorEastAsia" w:hAnsiTheme="minorEastAsia" w:eastAsiaTheme="minorEastAsia"/>
          <w:color w:val="000000"/>
          <w:kern w:val="0"/>
          <w:sz w:val="24"/>
          <w:szCs w:val="24"/>
        </w:rPr>
        <w:t>43</w:t>
      </w:r>
      <w:r>
        <w:rPr>
          <w:rFonts w:hint="eastAsia" w:cs="Arial Narrow" w:asciiTheme="minorEastAsia" w:hAnsiTheme="minorEastAsia" w:eastAsiaTheme="minorEastAsia"/>
          <w:color w:val="000000"/>
          <w:kern w:val="0"/>
          <w:sz w:val="24"/>
          <w:szCs w:val="24"/>
        </w:rPr>
        <w:t>号）；</w:t>
      </w:r>
    </w:p>
    <w:p w14:paraId="679BA5A5">
      <w:pPr>
        <w:pStyle w:val="4"/>
        <w:numPr>
          <w:ilvl w:val="0"/>
          <w:numId w:val="13"/>
        </w:numPr>
        <w:spacing w:before="60" w:after="60" w:line="360" w:lineRule="auto"/>
        <w:ind w:left="0" w:firstLine="480" w:firstLineChars="200"/>
        <w:textAlignment w:val="baseline"/>
        <w:rPr>
          <w:rFonts w:hint="eastAsia" w:cs="Arial Narrow" w:asciiTheme="minorEastAsia" w:hAnsiTheme="minorEastAsia" w:eastAsiaTheme="minorEastAsia"/>
          <w:color w:val="000000"/>
          <w:kern w:val="0"/>
          <w:sz w:val="24"/>
          <w:szCs w:val="24"/>
        </w:rPr>
      </w:pPr>
      <w:r>
        <w:rPr>
          <w:rFonts w:hint="eastAsia" w:cs="Arial Narrow" w:asciiTheme="minorEastAsia" w:hAnsiTheme="minorEastAsia" w:eastAsiaTheme="minorEastAsia"/>
          <w:color w:val="000000"/>
          <w:kern w:val="0"/>
          <w:sz w:val="24"/>
          <w:szCs w:val="24"/>
        </w:rPr>
        <w:t>《资产评估职业道德准则》（中评协〔</w:t>
      </w:r>
      <w:r>
        <w:rPr>
          <w:rFonts w:cs="Arial Narrow" w:asciiTheme="minorEastAsia" w:hAnsiTheme="minorEastAsia" w:eastAsiaTheme="minorEastAsia"/>
          <w:color w:val="000000"/>
          <w:kern w:val="0"/>
          <w:sz w:val="24"/>
          <w:szCs w:val="24"/>
        </w:rPr>
        <w:t>2017</w:t>
      </w:r>
      <w:r>
        <w:rPr>
          <w:rFonts w:hint="eastAsia" w:cs="Arial Narrow" w:asciiTheme="minorEastAsia" w:hAnsiTheme="minorEastAsia" w:eastAsiaTheme="minorEastAsia"/>
          <w:color w:val="000000"/>
          <w:kern w:val="0"/>
          <w:sz w:val="24"/>
          <w:szCs w:val="24"/>
        </w:rPr>
        <w:t>〕</w:t>
      </w:r>
      <w:r>
        <w:rPr>
          <w:rFonts w:cs="Arial Narrow" w:asciiTheme="minorEastAsia" w:hAnsiTheme="minorEastAsia" w:eastAsiaTheme="minorEastAsia"/>
          <w:color w:val="000000"/>
          <w:kern w:val="0"/>
          <w:sz w:val="24"/>
          <w:szCs w:val="24"/>
        </w:rPr>
        <w:t>30</w:t>
      </w:r>
      <w:r>
        <w:rPr>
          <w:rFonts w:hint="eastAsia" w:cs="Arial Narrow" w:asciiTheme="minorEastAsia" w:hAnsiTheme="minorEastAsia" w:eastAsiaTheme="minorEastAsia"/>
          <w:color w:val="000000"/>
          <w:kern w:val="0"/>
          <w:sz w:val="24"/>
          <w:szCs w:val="24"/>
        </w:rPr>
        <w:t>号）；</w:t>
      </w:r>
    </w:p>
    <w:p w14:paraId="592E9A35">
      <w:pPr>
        <w:pStyle w:val="4"/>
        <w:numPr>
          <w:ilvl w:val="0"/>
          <w:numId w:val="13"/>
        </w:numPr>
        <w:spacing w:before="60" w:after="60" w:line="360" w:lineRule="auto"/>
        <w:ind w:left="0" w:firstLine="480" w:firstLineChars="200"/>
        <w:textAlignment w:val="baseline"/>
        <w:rPr>
          <w:rFonts w:hint="eastAsia" w:cs="Arial Narrow" w:asciiTheme="minorEastAsia" w:hAnsiTheme="minorEastAsia" w:eastAsiaTheme="minorEastAsia"/>
          <w:color w:val="000000"/>
          <w:kern w:val="0"/>
          <w:sz w:val="24"/>
          <w:szCs w:val="24"/>
        </w:rPr>
      </w:pPr>
      <w:r>
        <w:rPr>
          <w:rFonts w:hint="eastAsia" w:cs="Arial Narrow" w:asciiTheme="minorEastAsia" w:hAnsiTheme="minorEastAsia" w:eastAsiaTheme="minorEastAsia"/>
          <w:color w:val="000000"/>
          <w:kern w:val="0"/>
          <w:sz w:val="24"/>
          <w:szCs w:val="24"/>
        </w:rPr>
        <w:t>《资产评估执业准则——资产评估方法》（中评协〔</w:t>
      </w:r>
      <w:r>
        <w:rPr>
          <w:rFonts w:cs="Arial Narrow" w:asciiTheme="minorEastAsia" w:hAnsiTheme="minorEastAsia" w:eastAsiaTheme="minorEastAsia"/>
          <w:color w:val="000000"/>
          <w:kern w:val="0"/>
          <w:sz w:val="24"/>
          <w:szCs w:val="24"/>
        </w:rPr>
        <w:t>201</w:t>
      </w:r>
      <w:r>
        <w:rPr>
          <w:rFonts w:hint="eastAsia" w:cs="Arial Narrow" w:asciiTheme="minorEastAsia" w:hAnsiTheme="minorEastAsia" w:eastAsiaTheme="minorEastAsia"/>
          <w:color w:val="000000"/>
          <w:kern w:val="0"/>
          <w:sz w:val="24"/>
          <w:szCs w:val="24"/>
        </w:rPr>
        <w:t>9〕</w:t>
      </w:r>
      <w:r>
        <w:rPr>
          <w:rFonts w:cs="Arial Narrow" w:asciiTheme="minorEastAsia" w:hAnsiTheme="minorEastAsia" w:eastAsiaTheme="minorEastAsia"/>
          <w:color w:val="000000"/>
          <w:kern w:val="0"/>
          <w:sz w:val="24"/>
          <w:szCs w:val="24"/>
        </w:rPr>
        <w:t>3</w:t>
      </w:r>
      <w:r>
        <w:rPr>
          <w:rFonts w:hint="eastAsia" w:cs="Arial Narrow" w:asciiTheme="minorEastAsia" w:hAnsiTheme="minorEastAsia" w:eastAsiaTheme="minorEastAsia"/>
          <w:color w:val="000000"/>
          <w:kern w:val="0"/>
          <w:sz w:val="24"/>
          <w:szCs w:val="24"/>
        </w:rPr>
        <w:t>5号）；</w:t>
      </w:r>
    </w:p>
    <w:p w14:paraId="6BDED957">
      <w:pPr>
        <w:pStyle w:val="4"/>
        <w:numPr>
          <w:ilvl w:val="0"/>
          <w:numId w:val="13"/>
        </w:numPr>
        <w:spacing w:before="60" w:after="60" w:line="360" w:lineRule="auto"/>
        <w:ind w:left="0" w:firstLine="480" w:firstLineChars="200"/>
        <w:textAlignment w:val="baseline"/>
        <w:rPr>
          <w:rFonts w:hint="eastAsia" w:cs="Arial Narrow" w:asciiTheme="minorEastAsia" w:hAnsiTheme="minorEastAsia" w:eastAsiaTheme="minorEastAsia"/>
          <w:color w:val="000000"/>
          <w:kern w:val="0"/>
          <w:sz w:val="24"/>
          <w:szCs w:val="24"/>
        </w:rPr>
      </w:pPr>
      <w:r>
        <w:rPr>
          <w:rFonts w:hint="eastAsia" w:cs="Arial Narrow" w:asciiTheme="minorEastAsia" w:hAnsiTheme="minorEastAsia" w:eastAsiaTheme="minorEastAsia"/>
          <w:color w:val="000000"/>
          <w:kern w:val="0"/>
          <w:sz w:val="24"/>
          <w:szCs w:val="24"/>
        </w:rPr>
        <w:t>《资产评估执业准则——资产评估程序》（中评协〔</w:t>
      </w:r>
      <w:r>
        <w:rPr>
          <w:rFonts w:cs="Arial Narrow" w:asciiTheme="minorEastAsia" w:hAnsiTheme="minorEastAsia" w:eastAsiaTheme="minorEastAsia"/>
          <w:color w:val="000000"/>
          <w:kern w:val="0"/>
          <w:sz w:val="24"/>
          <w:szCs w:val="24"/>
        </w:rPr>
        <w:t>201</w:t>
      </w:r>
      <w:r>
        <w:rPr>
          <w:rFonts w:hint="eastAsia" w:cs="Arial Narrow" w:asciiTheme="minorEastAsia" w:hAnsiTheme="minorEastAsia" w:eastAsiaTheme="minorEastAsia"/>
          <w:color w:val="000000"/>
          <w:kern w:val="0"/>
          <w:sz w:val="24"/>
          <w:szCs w:val="24"/>
        </w:rPr>
        <w:t>8〕</w:t>
      </w:r>
      <w:r>
        <w:rPr>
          <w:rFonts w:cs="Arial Narrow" w:asciiTheme="minorEastAsia" w:hAnsiTheme="minorEastAsia" w:eastAsiaTheme="minorEastAsia"/>
          <w:color w:val="000000"/>
          <w:kern w:val="0"/>
          <w:sz w:val="24"/>
          <w:szCs w:val="24"/>
        </w:rPr>
        <w:t>3</w:t>
      </w:r>
      <w:r>
        <w:rPr>
          <w:rFonts w:hint="eastAsia" w:cs="Arial Narrow" w:asciiTheme="minorEastAsia" w:hAnsiTheme="minorEastAsia" w:eastAsiaTheme="minorEastAsia"/>
          <w:color w:val="000000"/>
          <w:kern w:val="0"/>
          <w:sz w:val="24"/>
          <w:szCs w:val="24"/>
        </w:rPr>
        <w:t>6号）；</w:t>
      </w:r>
    </w:p>
    <w:p w14:paraId="5F44C2A2">
      <w:pPr>
        <w:pStyle w:val="4"/>
        <w:numPr>
          <w:ilvl w:val="0"/>
          <w:numId w:val="13"/>
        </w:numPr>
        <w:spacing w:before="60" w:after="60" w:line="360" w:lineRule="auto"/>
        <w:ind w:left="0" w:firstLine="480" w:firstLineChars="200"/>
        <w:textAlignment w:val="baseline"/>
        <w:rPr>
          <w:rFonts w:hint="eastAsia" w:cs="Arial Narrow" w:asciiTheme="minorEastAsia" w:hAnsiTheme="minorEastAsia" w:eastAsiaTheme="minorEastAsia"/>
          <w:color w:val="000000"/>
          <w:kern w:val="0"/>
          <w:sz w:val="24"/>
          <w:szCs w:val="24"/>
        </w:rPr>
      </w:pPr>
      <w:r>
        <w:rPr>
          <w:rFonts w:hint="eastAsia" w:cs="Arial Narrow" w:asciiTheme="minorEastAsia" w:hAnsiTheme="minorEastAsia" w:eastAsiaTheme="minorEastAsia"/>
          <w:color w:val="000000"/>
          <w:kern w:val="0"/>
          <w:sz w:val="24"/>
          <w:szCs w:val="24"/>
        </w:rPr>
        <w:t>《资产评估执业准则——资产评估报告》（中评协〔</w:t>
      </w:r>
      <w:r>
        <w:rPr>
          <w:rFonts w:cs="Arial Narrow" w:asciiTheme="minorEastAsia" w:hAnsiTheme="minorEastAsia" w:eastAsiaTheme="minorEastAsia"/>
          <w:color w:val="000000"/>
          <w:kern w:val="0"/>
          <w:sz w:val="24"/>
          <w:szCs w:val="24"/>
        </w:rPr>
        <w:t>201</w:t>
      </w:r>
      <w:r>
        <w:rPr>
          <w:rFonts w:hint="eastAsia" w:cs="Arial Narrow" w:asciiTheme="minorEastAsia" w:hAnsiTheme="minorEastAsia" w:eastAsiaTheme="minorEastAsia"/>
          <w:color w:val="000000"/>
          <w:kern w:val="0"/>
          <w:sz w:val="24"/>
          <w:szCs w:val="24"/>
        </w:rPr>
        <w:t>8〕</w:t>
      </w:r>
      <w:r>
        <w:rPr>
          <w:rFonts w:cs="Arial Narrow" w:asciiTheme="minorEastAsia" w:hAnsiTheme="minorEastAsia" w:eastAsiaTheme="minorEastAsia"/>
          <w:color w:val="000000"/>
          <w:kern w:val="0"/>
          <w:sz w:val="24"/>
          <w:szCs w:val="24"/>
        </w:rPr>
        <w:t>3</w:t>
      </w:r>
      <w:r>
        <w:rPr>
          <w:rFonts w:hint="eastAsia" w:cs="Arial Narrow" w:asciiTheme="minorEastAsia" w:hAnsiTheme="minorEastAsia" w:eastAsiaTheme="minorEastAsia"/>
          <w:color w:val="000000"/>
          <w:kern w:val="0"/>
          <w:sz w:val="24"/>
          <w:szCs w:val="24"/>
        </w:rPr>
        <w:t>5号）；</w:t>
      </w:r>
    </w:p>
    <w:p w14:paraId="6BEBAD92">
      <w:pPr>
        <w:pStyle w:val="4"/>
        <w:numPr>
          <w:ilvl w:val="0"/>
          <w:numId w:val="13"/>
        </w:numPr>
        <w:spacing w:before="60" w:after="60" w:line="360" w:lineRule="auto"/>
        <w:ind w:left="0" w:firstLine="480" w:firstLineChars="200"/>
        <w:textAlignment w:val="baseline"/>
        <w:rPr>
          <w:rFonts w:hint="eastAsia" w:cs="Arial Narrow" w:asciiTheme="minorEastAsia" w:hAnsiTheme="minorEastAsia" w:eastAsiaTheme="minorEastAsia"/>
          <w:color w:val="000000"/>
          <w:kern w:val="0"/>
          <w:sz w:val="24"/>
          <w:szCs w:val="24"/>
        </w:rPr>
      </w:pPr>
      <w:r>
        <w:rPr>
          <w:rFonts w:hint="eastAsia" w:cs="Arial Narrow" w:asciiTheme="minorEastAsia" w:hAnsiTheme="minorEastAsia" w:eastAsiaTheme="minorEastAsia"/>
          <w:color w:val="000000"/>
          <w:kern w:val="0"/>
          <w:sz w:val="24"/>
          <w:szCs w:val="24"/>
        </w:rPr>
        <w:t>《资产评估执业准则——资产评估委托合同》（中评协〔</w:t>
      </w:r>
      <w:r>
        <w:rPr>
          <w:rFonts w:cs="Arial Narrow" w:asciiTheme="minorEastAsia" w:hAnsiTheme="minorEastAsia" w:eastAsiaTheme="minorEastAsia"/>
          <w:color w:val="000000"/>
          <w:kern w:val="0"/>
          <w:sz w:val="24"/>
          <w:szCs w:val="24"/>
        </w:rPr>
        <w:t>2017</w:t>
      </w:r>
      <w:r>
        <w:rPr>
          <w:rFonts w:hint="eastAsia" w:cs="Arial Narrow" w:asciiTheme="minorEastAsia" w:hAnsiTheme="minorEastAsia" w:eastAsiaTheme="minorEastAsia"/>
          <w:color w:val="000000"/>
          <w:kern w:val="0"/>
          <w:sz w:val="24"/>
          <w:szCs w:val="24"/>
        </w:rPr>
        <w:t>〕</w:t>
      </w:r>
      <w:r>
        <w:rPr>
          <w:rFonts w:cs="Arial Narrow" w:asciiTheme="minorEastAsia" w:hAnsiTheme="minorEastAsia" w:eastAsiaTheme="minorEastAsia"/>
          <w:color w:val="000000"/>
          <w:kern w:val="0"/>
          <w:sz w:val="24"/>
          <w:szCs w:val="24"/>
        </w:rPr>
        <w:t>33</w:t>
      </w:r>
      <w:r>
        <w:rPr>
          <w:rFonts w:hint="eastAsia" w:cs="Arial Narrow" w:asciiTheme="minorEastAsia" w:hAnsiTheme="minorEastAsia" w:eastAsiaTheme="minorEastAsia"/>
          <w:color w:val="000000"/>
          <w:kern w:val="0"/>
          <w:sz w:val="24"/>
          <w:szCs w:val="24"/>
        </w:rPr>
        <w:t>号）；</w:t>
      </w:r>
    </w:p>
    <w:p w14:paraId="4B6EA962">
      <w:pPr>
        <w:pStyle w:val="4"/>
        <w:numPr>
          <w:ilvl w:val="0"/>
          <w:numId w:val="13"/>
        </w:numPr>
        <w:spacing w:before="60" w:after="60" w:line="360" w:lineRule="auto"/>
        <w:ind w:left="0" w:firstLine="480" w:firstLineChars="200"/>
        <w:textAlignment w:val="baseline"/>
        <w:rPr>
          <w:rFonts w:hint="eastAsia" w:cs="Arial Narrow" w:asciiTheme="minorEastAsia" w:hAnsiTheme="minorEastAsia" w:eastAsiaTheme="minorEastAsia"/>
          <w:color w:val="000000"/>
          <w:kern w:val="0"/>
          <w:sz w:val="24"/>
          <w:szCs w:val="24"/>
        </w:rPr>
      </w:pPr>
      <w:r>
        <w:rPr>
          <w:rFonts w:hint="eastAsia" w:cs="Arial Narrow" w:asciiTheme="minorEastAsia" w:hAnsiTheme="minorEastAsia" w:eastAsiaTheme="minorEastAsia"/>
          <w:color w:val="000000"/>
          <w:kern w:val="0"/>
          <w:sz w:val="24"/>
          <w:szCs w:val="24"/>
        </w:rPr>
        <w:t>《资产评估执业准则——资产评估档案》（中评协〔</w:t>
      </w:r>
      <w:r>
        <w:rPr>
          <w:rFonts w:cs="Arial Narrow" w:asciiTheme="minorEastAsia" w:hAnsiTheme="minorEastAsia" w:eastAsiaTheme="minorEastAsia"/>
          <w:color w:val="000000"/>
          <w:kern w:val="0"/>
          <w:sz w:val="24"/>
          <w:szCs w:val="24"/>
        </w:rPr>
        <w:t>201</w:t>
      </w:r>
      <w:r>
        <w:rPr>
          <w:rFonts w:hint="eastAsia" w:cs="Arial Narrow" w:asciiTheme="minorEastAsia" w:hAnsiTheme="minorEastAsia" w:eastAsiaTheme="minorEastAsia"/>
          <w:color w:val="000000"/>
          <w:kern w:val="0"/>
          <w:sz w:val="24"/>
          <w:szCs w:val="24"/>
        </w:rPr>
        <w:t>8〕</w:t>
      </w:r>
      <w:r>
        <w:rPr>
          <w:rFonts w:cs="Arial Narrow" w:asciiTheme="minorEastAsia" w:hAnsiTheme="minorEastAsia" w:eastAsiaTheme="minorEastAsia"/>
          <w:color w:val="000000"/>
          <w:kern w:val="0"/>
          <w:sz w:val="24"/>
          <w:szCs w:val="24"/>
        </w:rPr>
        <w:t>3</w:t>
      </w:r>
      <w:r>
        <w:rPr>
          <w:rFonts w:hint="eastAsia" w:cs="Arial Narrow" w:asciiTheme="minorEastAsia" w:hAnsiTheme="minorEastAsia" w:eastAsiaTheme="minorEastAsia"/>
          <w:color w:val="000000"/>
          <w:kern w:val="0"/>
          <w:sz w:val="24"/>
          <w:szCs w:val="24"/>
        </w:rPr>
        <w:t>7号）；</w:t>
      </w:r>
    </w:p>
    <w:p w14:paraId="6F64EB71">
      <w:pPr>
        <w:pStyle w:val="4"/>
        <w:numPr>
          <w:ilvl w:val="0"/>
          <w:numId w:val="13"/>
        </w:numPr>
        <w:spacing w:before="60" w:after="60" w:line="360" w:lineRule="auto"/>
        <w:ind w:left="0" w:firstLine="480" w:firstLineChars="200"/>
        <w:textAlignment w:val="baseline"/>
        <w:rPr>
          <w:rFonts w:hint="eastAsia" w:cs="Arial Narrow" w:asciiTheme="minorEastAsia" w:hAnsiTheme="minorEastAsia" w:eastAsiaTheme="minorEastAsia"/>
          <w:color w:val="000000"/>
          <w:kern w:val="0"/>
          <w:sz w:val="24"/>
          <w:szCs w:val="24"/>
        </w:rPr>
      </w:pPr>
      <w:r>
        <w:rPr>
          <w:rFonts w:hint="eastAsia" w:cs="Arial Narrow" w:asciiTheme="minorEastAsia" w:hAnsiTheme="minorEastAsia" w:eastAsiaTheme="minorEastAsia"/>
          <w:color w:val="000000"/>
          <w:kern w:val="0"/>
          <w:sz w:val="24"/>
          <w:szCs w:val="24"/>
        </w:rPr>
        <w:t>《资产评估执业准则——利用专家工作及相关报告》（中评协〔</w:t>
      </w:r>
      <w:r>
        <w:rPr>
          <w:rFonts w:cs="Arial Narrow" w:asciiTheme="minorEastAsia" w:hAnsiTheme="minorEastAsia" w:eastAsiaTheme="minorEastAsia"/>
          <w:color w:val="000000"/>
          <w:kern w:val="0"/>
          <w:sz w:val="24"/>
          <w:szCs w:val="24"/>
        </w:rPr>
        <w:t>2017</w:t>
      </w:r>
      <w:r>
        <w:rPr>
          <w:rFonts w:hint="eastAsia" w:cs="Arial Narrow" w:asciiTheme="minorEastAsia" w:hAnsiTheme="minorEastAsia" w:eastAsiaTheme="minorEastAsia"/>
          <w:color w:val="000000"/>
          <w:kern w:val="0"/>
          <w:sz w:val="24"/>
          <w:szCs w:val="24"/>
        </w:rPr>
        <w:t>〕</w:t>
      </w:r>
      <w:r>
        <w:rPr>
          <w:rFonts w:cs="Arial Narrow" w:asciiTheme="minorEastAsia" w:hAnsiTheme="minorEastAsia" w:eastAsiaTheme="minorEastAsia"/>
          <w:color w:val="000000"/>
          <w:kern w:val="0"/>
          <w:sz w:val="24"/>
          <w:szCs w:val="24"/>
        </w:rPr>
        <w:t>35</w:t>
      </w:r>
      <w:r>
        <w:rPr>
          <w:rFonts w:hint="eastAsia" w:cs="Arial Narrow" w:asciiTheme="minorEastAsia" w:hAnsiTheme="minorEastAsia" w:eastAsiaTheme="minorEastAsia"/>
          <w:color w:val="000000"/>
          <w:kern w:val="0"/>
          <w:sz w:val="24"/>
          <w:szCs w:val="24"/>
        </w:rPr>
        <w:t>号）；</w:t>
      </w:r>
    </w:p>
    <w:p w14:paraId="0DA93BE6">
      <w:pPr>
        <w:pStyle w:val="4"/>
        <w:numPr>
          <w:ilvl w:val="0"/>
          <w:numId w:val="13"/>
        </w:numPr>
        <w:spacing w:before="60" w:after="60" w:line="360" w:lineRule="auto"/>
        <w:ind w:left="0" w:firstLine="480" w:firstLineChars="200"/>
        <w:textAlignment w:val="baseline"/>
        <w:rPr>
          <w:rFonts w:hint="eastAsia" w:cs="Arial Narrow" w:asciiTheme="minorEastAsia" w:hAnsiTheme="minorEastAsia" w:eastAsiaTheme="minorEastAsia"/>
          <w:color w:val="000000"/>
          <w:kern w:val="0"/>
          <w:sz w:val="24"/>
          <w:szCs w:val="24"/>
        </w:rPr>
      </w:pPr>
      <w:r>
        <w:rPr>
          <w:rFonts w:hint="eastAsia" w:cs="Arial Narrow" w:asciiTheme="minorEastAsia" w:hAnsiTheme="minorEastAsia" w:eastAsiaTheme="minorEastAsia"/>
          <w:color w:val="000000"/>
          <w:kern w:val="0"/>
          <w:sz w:val="24"/>
          <w:szCs w:val="24"/>
        </w:rPr>
        <w:t>《资产评估执业准则——企业价值》（中评协〔</w:t>
      </w:r>
      <w:r>
        <w:rPr>
          <w:rFonts w:cs="Arial Narrow" w:asciiTheme="minorEastAsia" w:hAnsiTheme="minorEastAsia" w:eastAsiaTheme="minorEastAsia"/>
          <w:color w:val="000000"/>
          <w:kern w:val="0"/>
          <w:sz w:val="24"/>
          <w:szCs w:val="24"/>
        </w:rPr>
        <w:t>201</w:t>
      </w:r>
      <w:r>
        <w:rPr>
          <w:rFonts w:hint="eastAsia" w:cs="Arial Narrow" w:asciiTheme="minorEastAsia" w:hAnsiTheme="minorEastAsia" w:eastAsiaTheme="minorEastAsia"/>
          <w:color w:val="000000"/>
          <w:kern w:val="0"/>
          <w:sz w:val="24"/>
          <w:szCs w:val="24"/>
        </w:rPr>
        <w:t>8〕</w:t>
      </w:r>
      <w:r>
        <w:rPr>
          <w:rFonts w:cs="Arial Narrow" w:asciiTheme="minorEastAsia" w:hAnsiTheme="minorEastAsia" w:eastAsiaTheme="minorEastAsia"/>
          <w:color w:val="000000"/>
          <w:kern w:val="0"/>
          <w:sz w:val="24"/>
          <w:szCs w:val="24"/>
        </w:rPr>
        <w:t>3</w:t>
      </w:r>
      <w:r>
        <w:rPr>
          <w:rFonts w:hint="eastAsia" w:cs="Arial Narrow" w:asciiTheme="minorEastAsia" w:hAnsiTheme="minorEastAsia" w:eastAsiaTheme="minorEastAsia"/>
          <w:color w:val="000000"/>
          <w:kern w:val="0"/>
          <w:sz w:val="24"/>
          <w:szCs w:val="24"/>
        </w:rPr>
        <w:t>8号）；</w:t>
      </w:r>
    </w:p>
    <w:p w14:paraId="306BA51F">
      <w:pPr>
        <w:pStyle w:val="4"/>
        <w:numPr>
          <w:ilvl w:val="0"/>
          <w:numId w:val="13"/>
        </w:numPr>
        <w:spacing w:before="60" w:after="60" w:line="360" w:lineRule="auto"/>
        <w:ind w:left="0" w:firstLine="480" w:firstLineChars="200"/>
        <w:textAlignment w:val="baseline"/>
        <w:rPr>
          <w:rFonts w:hint="eastAsia" w:cs="Arial Narrow" w:asciiTheme="minorEastAsia" w:hAnsiTheme="minorEastAsia" w:eastAsiaTheme="minorEastAsia"/>
          <w:color w:val="000000"/>
          <w:kern w:val="0"/>
          <w:sz w:val="24"/>
          <w:szCs w:val="24"/>
        </w:rPr>
      </w:pPr>
      <w:r>
        <w:rPr>
          <w:rFonts w:hint="eastAsia" w:cs="Arial Narrow" w:asciiTheme="minorEastAsia" w:hAnsiTheme="minorEastAsia" w:eastAsiaTheme="minorEastAsia"/>
          <w:color w:val="000000"/>
          <w:kern w:val="0"/>
          <w:sz w:val="24"/>
          <w:szCs w:val="24"/>
        </w:rPr>
        <w:t>《资产评估机构业务质量控制指南》（中评协〔</w:t>
      </w:r>
      <w:r>
        <w:rPr>
          <w:rFonts w:cs="Arial Narrow" w:asciiTheme="minorEastAsia" w:hAnsiTheme="minorEastAsia" w:eastAsiaTheme="minorEastAsia"/>
          <w:color w:val="000000"/>
          <w:kern w:val="0"/>
          <w:sz w:val="24"/>
          <w:szCs w:val="24"/>
        </w:rPr>
        <w:t>2017</w:t>
      </w:r>
      <w:r>
        <w:rPr>
          <w:rFonts w:hint="eastAsia" w:cs="Arial Narrow" w:asciiTheme="minorEastAsia" w:hAnsiTheme="minorEastAsia" w:eastAsiaTheme="minorEastAsia"/>
          <w:color w:val="000000"/>
          <w:kern w:val="0"/>
          <w:sz w:val="24"/>
          <w:szCs w:val="24"/>
        </w:rPr>
        <w:t>〕</w:t>
      </w:r>
      <w:r>
        <w:rPr>
          <w:rFonts w:cs="Arial Narrow" w:asciiTheme="minorEastAsia" w:hAnsiTheme="minorEastAsia" w:eastAsiaTheme="minorEastAsia"/>
          <w:color w:val="000000"/>
          <w:kern w:val="0"/>
          <w:sz w:val="24"/>
          <w:szCs w:val="24"/>
        </w:rPr>
        <w:t>46</w:t>
      </w:r>
      <w:r>
        <w:rPr>
          <w:rFonts w:hint="eastAsia" w:cs="Arial Narrow" w:asciiTheme="minorEastAsia" w:hAnsiTheme="minorEastAsia" w:eastAsiaTheme="minorEastAsia"/>
          <w:color w:val="000000"/>
          <w:kern w:val="0"/>
          <w:sz w:val="24"/>
          <w:szCs w:val="24"/>
        </w:rPr>
        <w:t>号）；</w:t>
      </w:r>
    </w:p>
    <w:p w14:paraId="2CAA6370">
      <w:pPr>
        <w:pStyle w:val="4"/>
        <w:numPr>
          <w:ilvl w:val="0"/>
          <w:numId w:val="13"/>
        </w:numPr>
        <w:spacing w:before="60" w:after="60" w:line="360" w:lineRule="auto"/>
        <w:ind w:left="0" w:firstLine="480" w:firstLineChars="200"/>
        <w:textAlignment w:val="baseline"/>
        <w:rPr>
          <w:rFonts w:hint="eastAsia" w:cs="Arial Narrow" w:asciiTheme="minorEastAsia" w:hAnsiTheme="minorEastAsia" w:eastAsiaTheme="minorEastAsia"/>
          <w:color w:val="000000"/>
          <w:kern w:val="0"/>
          <w:sz w:val="24"/>
          <w:szCs w:val="24"/>
        </w:rPr>
      </w:pPr>
      <w:r>
        <w:rPr>
          <w:rFonts w:hint="eastAsia" w:cs="Arial Narrow" w:asciiTheme="minorEastAsia" w:hAnsiTheme="minorEastAsia" w:eastAsiaTheme="minorEastAsia"/>
          <w:color w:val="000000"/>
          <w:kern w:val="0"/>
          <w:sz w:val="24"/>
          <w:szCs w:val="24"/>
        </w:rPr>
        <w:t>《资产评估价值类型指导意见》（中评协〔</w:t>
      </w:r>
      <w:r>
        <w:rPr>
          <w:rFonts w:cs="Arial Narrow" w:asciiTheme="minorEastAsia" w:hAnsiTheme="minorEastAsia" w:eastAsiaTheme="minorEastAsia"/>
          <w:color w:val="000000"/>
          <w:kern w:val="0"/>
          <w:sz w:val="24"/>
          <w:szCs w:val="24"/>
        </w:rPr>
        <w:t>2017</w:t>
      </w:r>
      <w:r>
        <w:rPr>
          <w:rFonts w:hint="eastAsia" w:cs="Arial Narrow" w:asciiTheme="minorEastAsia" w:hAnsiTheme="minorEastAsia" w:eastAsiaTheme="minorEastAsia"/>
          <w:color w:val="000000"/>
          <w:kern w:val="0"/>
          <w:sz w:val="24"/>
          <w:szCs w:val="24"/>
        </w:rPr>
        <w:t>〕</w:t>
      </w:r>
      <w:r>
        <w:rPr>
          <w:rFonts w:cs="Arial Narrow" w:asciiTheme="minorEastAsia" w:hAnsiTheme="minorEastAsia" w:eastAsiaTheme="minorEastAsia"/>
          <w:color w:val="000000"/>
          <w:kern w:val="0"/>
          <w:sz w:val="24"/>
          <w:szCs w:val="24"/>
        </w:rPr>
        <w:t>47</w:t>
      </w:r>
      <w:r>
        <w:rPr>
          <w:rFonts w:hint="eastAsia" w:cs="Arial Narrow" w:asciiTheme="minorEastAsia" w:hAnsiTheme="minorEastAsia" w:eastAsiaTheme="minorEastAsia"/>
          <w:color w:val="000000"/>
          <w:kern w:val="0"/>
          <w:sz w:val="24"/>
          <w:szCs w:val="24"/>
        </w:rPr>
        <w:t>号）；</w:t>
      </w:r>
    </w:p>
    <w:p w14:paraId="1FB59CFA">
      <w:pPr>
        <w:pStyle w:val="4"/>
        <w:numPr>
          <w:ilvl w:val="0"/>
          <w:numId w:val="13"/>
        </w:numPr>
        <w:spacing w:before="60" w:after="60" w:line="360" w:lineRule="auto"/>
        <w:ind w:left="0" w:firstLine="480" w:firstLineChars="200"/>
        <w:textAlignment w:val="baseline"/>
        <w:rPr>
          <w:rFonts w:hint="eastAsia" w:cs="Arial Narrow" w:asciiTheme="minorEastAsia" w:hAnsiTheme="minorEastAsia" w:eastAsiaTheme="minorEastAsia"/>
          <w:color w:val="000000"/>
          <w:kern w:val="0"/>
          <w:sz w:val="24"/>
          <w:szCs w:val="24"/>
        </w:rPr>
      </w:pPr>
      <w:r>
        <w:rPr>
          <w:rFonts w:hint="eastAsia" w:cs="Arial Narrow" w:asciiTheme="minorEastAsia" w:hAnsiTheme="minorEastAsia" w:eastAsiaTheme="minorEastAsia"/>
          <w:color w:val="000000"/>
          <w:kern w:val="0"/>
          <w:sz w:val="24"/>
          <w:szCs w:val="24"/>
        </w:rPr>
        <w:t>《资产评估对象法律权属指导意见》（中评协〔</w:t>
      </w:r>
      <w:r>
        <w:rPr>
          <w:rFonts w:cs="Arial Narrow" w:asciiTheme="minorEastAsia" w:hAnsiTheme="minorEastAsia" w:eastAsiaTheme="minorEastAsia"/>
          <w:color w:val="000000"/>
          <w:kern w:val="0"/>
          <w:sz w:val="24"/>
          <w:szCs w:val="24"/>
        </w:rPr>
        <w:t>2017</w:t>
      </w:r>
      <w:r>
        <w:rPr>
          <w:rFonts w:hint="eastAsia" w:cs="Arial Narrow" w:asciiTheme="minorEastAsia" w:hAnsiTheme="minorEastAsia" w:eastAsiaTheme="minorEastAsia"/>
          <w:color w:val="000000"/>
          <w:kern w:val="0"/>
          <w:sz w:val="24"/>
          <w:szCs w:val="24"/>
        </w:rPr>
        <w:t>〕</w:t>
      </w:r>
      <w:r>
        <w:rPr>
          <w:rFonts w:cs="Arial Narrow" w:asciiTheme="minorEastAsia" w:hAnsiTheme="minorEastAsia" w:eastAsiaTheme="minorEastAsia"/>
          <w:color w:val="000000"/>
          <w:kern w:val="0"/>
          <w:sz w:val="24"/>
          <w:szCs w:val="24"/>
        </w:rPr>
        <w:t>48</w:t>
      </w:r>
      <w:r>
        <w:rPr>
          <w:rFonts w:hint="eastAsia" w:cs="Arial Narrow" w:asciiTheme="minorEastAsia" w:hAnsiTheme="minorEastAsia" w:eastAsiaTheme="minorEastAsia"/>
          <w:color w:val="000000"/>
          <w:kern w:val="0"/>
          <w:sz w:val="24"/>
          <w:szCs w:val="24"/>
        </w:rPr>
        <w:t>号）；</w:t>
      </w:r>
    </w:p>
    <w:p w14:paraId="1553DBC5">
      <w:pPr>
        <w:pStyle w:val="5"/>
        <w:numPr>
          <w:ilvl w:val="0"/>
          <w:numId w:val="10"/>
        </w:numPr>
        <w:tabs>
          <w:tab w:val="clear" w:pos="1080"/>
        </w:tabs>
        <w:spacing w:before="120" w:beforeLines="50" w:after="0" w:line="360" w:lineRule="auto"/>
        <w:ind w:left="0" w:firstLine="482" w:firstLineChars="200"/>
        <w:rPr>
          <w:rFonts w:hint="eastAsia" w:cs="Arial Narrow" w:asciiTheme="minorEastAsia" w:hAnsiTheme="minorEastAsia" w:eastAsiaTheme="minorEastAsia"/>
          <w:sz w:val="24"/>
          <w:szCs w:val="24"/>
        </w:rPr>
      </w:pPr>
      <w:r>
        <w:rPr>
          <w:rFonts w:hint="eastAsia" w:cs="Arial Narrow" w:asciiTheme="minorEastAsia" w:hAnsiTheme="minorEastAsia" w:eastAsiaTheme="minorEastAsia"/>
          <w:sz w:val="24"/>
          <w:szCs w:val="24"/>
        </w:rPr>
        <w:t>资产权属依据</w:t>
      </w:r>
    </w:p>
    <w:p w14:paraId="4D22C9D7">
      <w:pPr>
        <w:pStyle w:val="4"/>
        <w:numPr>
          <w:ilvl w:val="0"/>
          <w:numId w:val="14"/>
        </w:numPr>
        <w:spacing w:before="60" w:after="60" w:line="360" w:lineRule="auto"/>
        <w:ind w:left="0" w:firstLine="480" w:firstLineChars="200"/>
        <w:textAlignment w:val="baseline"/>
        <w:rPr>
          <w:rFonts w:ascii="Arial Narrow" w:hAnsi="Arial Narrow" w:cs="Arial Narrow"/>
          <w:color w:val="000000"/>
          <w:kern w:val="0"/>
          <w:sz w:val="24"/>
          <w:szCs w:val="24"/>
        </w:rPr>
      </w:pPr>
      <w:r>
        <w:rPr>
          <w:rFonts w:hint="eastAsia" w:ascii="Arial Narrow" w:hAnsi="Arial Narrow" w:cs="Arial Narrow"/>
          <w:color w:val="000000"/>
          <w:kern w:val="0"/>
          <w:sz w:val="24"/>
          <w:szCs w:val="24"/>
        </w:rPr>
        <w:t>企业法人营业执照、公司章程；</w:t>
      </w:r>
    </w:p>
    <w:p w14:paraId="61A2A9E2">
      <w:pPr>
        <w:pStyle w:val="4"/>
        <w:numPr>
          <w:ilvl w:val="0"/>
          <w:numId w:val="14"/>
        </w:numPr>
        <w:spacing w:before="60" w:after="60" w:line="360" w:lineRule="auto"/>
        <w:ind w:left="0" w:firstLine="480" w:firstLineChars="200"/>
        <w:textAlignment w:val="baseline"/>
        <w:rPr>
          <w:rFonts w:ascii="Arial Narrow" w:hAnsi="Arial Narrow" w:cs="Arial Narrow"/>
          <w:color w:val="000000"/>
          <w:kern w:val="0"/>
          <w:sz w:val="24"/>
          <w:szCs w:val="24"/>
        </w:rPr>
      </w:pPr>
      <w:r>
        <w:rPr>
          <w:rFonts w:hint="eastAsia" w:ascii="Arial Narrow" w:hAnsi="Arial Narrow" w:cs="Arial Narrow"/>
          <w:color w:val="000000"/>
          <w:kern w:val="0"/>
          <w:sz w:val="24"/>
          <w:szCs w:val="24"/>
        </w:rPr>
        <w:t>机动车登记证书；</w:t>
      </w:r>
    </w:p>
    <w:p w14:paraId="462A3D89">
      <w:pPr>
        <w:pStyle w:val="4"/>
        <w:numPr>
          <w:ilvl w:val="0"/>
          <w:numId w:val="14"/>
        </w:numPr>
        <w:spacing w:before="60" w:after="60" w:line="360" w:lineRule="auto"/>
        <w:ind w:left="0" w:firstLine="480" w:firstLineChars="200"/>
        <w:textAlignment w:val="baseline"/>
        <w:rPr>
          <w:rFonts w:ascii="Arial Narrow" w:hAnsi="Arial Narrow" w:cs="Arial Narrow"/>
          <w:color w:val="000000"/>
          <w:kern w:val="0"/>
          <w:sz w:val="24"/>
          <w:szCs w:val="24"/>
        </w:rPr>
      </w:pPr>
      <w:r>
        <w:rPr>
          <w:rFonts w:hint="eastAsia" w:ascii="Arial Narrow" w:hAnsi="Arial Narrow" w:cs="Arial Narrow"/>
          <w:color w:val="000000"/>
          <w:kern w:val="0"/>
          <w:sz w:val="24"/>
          <w:szCs w:val="24"/>
        </w:rPr>
        <w:t>其他权属文件。</w:t>
      </w:r>
    </w:p>
    <w:p w14:paraId="5D8780F1">
      <w:pPr>
        <w:pStyle w:val="5"/>
        <w:numPr>
          <w:ilvl w:val="0"/>
          <w:numId w:val="10"/>
        </w:numPr>
        <w:tabs>
          <w:tab w:val="clear" w:pos="1080"/>
        </w:tabs>
        <w:spacing w:before="120" w:beforeLines="50" w:after="0" w:line="360" w:lineRule="auto"/>
        <w:ind w:left="0" w:firstLine="482" w:firstLineChars="200"/>
        <w:rPr>
          <w:rFonts w:hint="eastAsia" w:cs="Arial Narrow" w:asciiTheme="minorEastAsia" w:hAnsiTheme="minorEastAsia" w:eastAsiaTheme="minorEastAsia"/>
          <w:sz w:val="24"/>
          <w:szCs w:val="24"/>
        </w:rPr>
      </w:pPr>
      <w:r>
        <w:rPr>
          <w:rFonts w:hint="eastAsia" w:cs="Arial Narrow" w:asciiTheme="minorEastAsia" w:hAnsiTheme="minorEastAsia" w:eastAsiaTheme="minorEastAsia"/>
          <w:sz w:val="24"/>
          <w:szCs w:val="24"/>
        </w:rPr>
        <w:t>评估取价依据</w:t>
      </w:r>
    </w:p>
    <w:p w14:paraId="326A8507">
      <w:pPr>
        <w:pStyle w:val="4"/>
        <w:numPr>
          <w:ilvl w:val="0"/>
          <w:numId w:val="15"/>
        </w:numPr>
        <w:spacing w:before="60" w:after="60" w:line="360" w:lineRule="auto"/>
        <w:ind w:left="0" w:firstLine="480" w:firstLineChars="200"/>
        <w:textAlignment w:val="baseline"/>
        <w:rPr>
          <w:rFonts w:hint="eastAsia" w:cs="Arial Narrow" w:asciiTheme="minorEastAsia" w:hAnsiTheme="minorEastAsia" w:eastAsiaTheme="minorEastAsia"/>
          <w:color w:val="000000"/>
          <w:kern w:val="0"/>
          <w:sz w:val="24"/>
          <w:szCs w:val="24"/>
        </w:rPr>
      </w:pPr>
      <w:r>
        <w:rPr>
          <w:rFonts w:hint="eastAsia" w:cs="Arial Narrow" w:asciiTheme="minorEastAsia" w:hAnsiTheme="minorEastAsia" w:eastAsiaTheme="minorEastAsia"/>
          <w:color w:val="000000"/>
          <w:kern w:val="0"/>
          <w:sz w:val="24"/>
          <w:szCs w:val="24"/>
        </w:rPr>
        <w:t>被评估单位提供的</w:t>
      </w:r>
      <w:r>
        <w:rPr>
          <w:rFonts w:cs="Arial Narrow" w:asciiTheme="minorEastAsia" w:hAnsiTheme="minorEastAsia" w:eastAsiaTheme="minorEastAsia"/>
          <w:color w:val="000000"/>
          <w:kern w:val="0"/>
          <w:sz w:val="24"/>
          <w:szCs w:val="24"/>
        </w:rPr>
        <w:t>以前年度及评估基准日</w:t>
      </w:r>
      <w:r>
        <w:rPr>
          <w:rFonts w:hint="eastAsia" w:cs="Arial Narrow" w:asciiTheme="minorEastAsia" w:hAnsiTheme="minorEastAsia" w:eastAsiaTheme="minorEastAsia"/>
          <w:color w:val="000000"/>
          <w:kern w:val="0"/>
          <w:sz w:val="24"/>
          <w:szCs w:val="24"/>
        </w:rPr>
        <w:t>会计报表、审计报告、财务会计经营方面的资料、以及有关协议、合同书、发票等财务资料；</w:t>
      </w:r>
    </w:p>
    <w:p w14:paraId="3B7E3177">
      <w:pPr>
        <w:pStyle w:val="4"/>
        <w:numPr>
          <w:ilvl w:val="0"/>
          <w:numId w:val="15"/>
        </w:numPr>
        <w:spacing w:before="60" w:after="60" w:line="360" w:lineRule="auto"/>
        <w:ind w:left="0" w:firstLine="480" w:firstLineChars="200"/>
        <w:textAlignment w:val="baseline"/>
        <w:rPr>
          <w:rFonts w:ascii="Arial Narrow" w:hAnsi="Arial Narrow" w:cs="Arial Narrow"/>
          <w:color w:val="000000"/>
          <w:kern w:val="0"/>
          <w:sz w:val="24"/>
          <w:szCs w:val="24"/>
        </w:rPr>
      </w:pPr>
      <w:r>
        <w:rPr>
          <w:rFonts w:hint="eastAsia" w:ascii="Arial Narrow" w:hAnsi="Arial Narrow" w:cs="Arial Narrow"/>
          <w:color w:val="000000"/>
          <w:kern w:val="0"/>
          <w:sz w:val="24"/>
          <w:szCs w:val="24"/>
        </w:rPr>
        <w:t>被评估单位提供的《资产评估申报表》、《收益预测表》；</w:t>
      </w:r>
    </w:p>
    <w:p w14:paraId="733C667D">
      <w:pPr>
        <w:pStyle w:val="4"/>
        <w:numPr>
          <w:ilvl w:val="0"/>
          <w:numId w:val="15"/>
        </w:numPr>
        <w:spacing w:before="60" w:after="60" w:line="360" w:lineRule="auto"/>
        <w:ind w:left="0" w:firstLine="480" w:firstLineChars="200"/>
        <w:textAlignment w:val="baseline"/>
        <w:rPr>
          <w:rFonts w:hint="eastAsia" w:cs="Arial Narrow" w:asciiTheme="minorEastAsia" w:hAnsiTheme="minorEastAsia" w:eastAsiaTheme="minorEastAsia"/>
          <w:color w:val="000000"/>
          <w:kern w:val="0"/>
          <w:sz w:val="24"/>
          <w:szCs w:val="24"/>
        </w:rPr>
      </w:pPr>
      <w:r>
        <w:rPr>
          <w:rFonts w:hint="eastAsia" w:cs="Arial Narrow" w:asciiTheme="minorEastAsia" w:hAnsiTheme="minorEastAsia" w:eastAsiaTheme="minorEastAsia"/>
          <w:color w:val="000000"/>
          <w:kern w:val="0"/>
          <w:sz w:val="24"/>
          <w:szCs w:val="24"/>
        </w:rPr>
        <w:t>评估人员现场勘察记录及收集的其他相关估价信息资料；</w:t>
      </w:r>
    </w:p>
    <w:p w14:paraId="6F34B574">
      <w:pPr>
        <w:pStyle w:val="4"/>
        <w:numPr>
          <w:ilvl w:val="0"/>
          <w:numId w:val="15"/>
        </w:numPr>
        <w:spacing w:before="60" w:after="60" w:line="360" w:lineRule="auto"/>
        <w:ind w:left="0" w:firstLine="480" w:firstLineChars="200"/>
        <w:textAlignment w:val="baseline"/>
        <w:rPr>
          <w:rFonts w:hint="eastAsia" w:cs="Arial Narrow" w:asciiTheme="minorEastAsia" w:hAnsiTheme="minorEastAsia" w:eastAsiaTheme="minorEastAsia"/>
          <w:color w:val="000000"/>
          <w:kern w:val="0"/>
          <w:sz w:val="24"/>
          <w:szCs w:val="24"/>
        </w:rPr>
      </w:pPr>
      <w:r>
        <w:rPr>
          <w:rFonts w:cs="Arial Narrow" w:asciiTheme="minorEastAsia" w:hAnsiTheme="minorEastAsia" w:eastAsiaTheme="minorEastAsia"/>
          <w:color w:val="000000"/>
          <w:kern w:val="0"/>
          <w:sz w:val="24"/>
          <w:szCs w:val="24"/>
        </w:rPr>
        <w:t>Wind数据库</w:t>
      </w:r>
      <w:r>
        <w:rPr>
          <w:rFonts w:hint="eastAsia" w:cs="Arial Narrow" w:asciiTheme="minorEastAsia" w:hAnsiTheme="minorEastAsia" w:eastAsiaTheme="minorEastAsia"/>
          <w:color w:val="000000"/>
          <w:kern w:val="0"/>
          <w:sz w:val="24"/>
          <w:szCs w:val="24"/>
        </w:rPr>
        <w:t>；</w:t>
      </w:r>
    </w:p>
    <w:p w14:paraId="542220A5">
      <w:pPr>
        <w:pStyle w:val="4"/>
        <w:numPr>
          <w:ilvl w:val="0"/>
          <w:numId w:val="15"/>
        </w:numPr>
        <w:spacing w:before="60" w:after="60" w:line="360" w:lineRule="auto"/>
        <w:ind w:left="0" w:firstLine="480" w:firstLineChars="200"/>
        <w:textAlignment w:val="baseline"/>
        <w:rPr>
          <w:rFonts w:hint="eastAsia" w:cs="Arial Narrow" w:asciiTheme="minorEastAsia" w:hAnsiTheme="minorEastAsia" w:eastAsiaTheme="minorEastAsia"/>
          <w:color w:val="000000"/>
          <w:kern w:val="0"/>
          <w:sz w:val="24"/>
          <w:szCs w:val="24"/>
        </w:rPr>
      </w:pPr>
      <w:r>
        <w:rPr>
          <w:rFonts w:hint="eastAsia" w:cs="Arial Narrow" w:asciiTheme="minorEastAsia" w:hAnsiTheme="minorEastAsia" w:eastAsiaTheme="minorEastAsia"/>
          <w:color w:val="000000"/>
          <w:kern w:val="0"/>
          <w:sz w:val="24"/>
          <w:szCs w:val="24"/>
        </w:rPr>
        <w:t>国家有关部门发布的统计资料和技术标准资料及价格信息资料，以及我公司收集的有关询价资料和取价参数资料等；</w:t>
      </w:r>
    </w:p>
    <w:p w14:paraId="3C4B3D5F">
      <w:pPr>
        <w:pStyle w:val="4"/>
        <w:numPr>
          <w:ilvl w:val="0"/>
          <w:numId w:val="15"/>
        </w:numPr>
        <w:spacing w:before="60" w:after="60" w:line="360" w:lineRule="auto"/>
        <w:ind w:left="0" w:firstLine="480" w:firstLineChars="200"/>
        <w:textAlignment w:val="baseline"/>
        <w:rPr>
          <w:rFonts w:hint="eastAsia" w:cs="Arial Narrow" w:asciiTheme="minorEastAsia" w:hAnsiTheme="minorEastAsia" w:eastAsiaTheme="minorEastAsia"/>
          <w:color w:val="000000"/>
          <w:kern w:val="0"/>
          <w:sz w:val="24"/>
          <w:szCs w:val="24"/>
        </w:rPr>
      </w:pPr>
      <w:r>
        <w:rPr>
          <w:rFonts w:hint="eastAsia" w:cs="Arial Narrow" w:asciiTheme="minorEastAsia" w:hAnsiTheme="minorEastAsia" w:eastAsiaTheme="minorEastAsia"/>
          <w:color w:val="000000"/>
          <w:kern w:val="0"/>
          <w:sz w:val="24"/>
          <w:szCs w:val="24"/>
        </w:rPr>
        <w:t>与此次资产评估有关的其他资料。</w:t>
      </w:r>
    </w:p>
    <w:bookmarkEnd w:id="66"/>
    <w:bookmarkEnd w:id="67"/>
    <w:bookmarkEnd w:id="68"/>
    <w:p w14:paraId="2D7E40C7">
      <w:pPr>
        <w:pStyle w:val="3"/>
        <w:numPr>
          <w:ilvl w:val="0"/>
          <w:numId w:val="5"/>
        </w:numPr>
        <w:tabs>
          <w:tab w:val="left" w:pos="1134"/>
          <w:tab w:val="left" w:pos="1276"/>
          <w:tab w:val="left" w:pos="1725"/>
        </w:tabs>
        <w:spacing w:before="240" w:after="0" w:line="360" w:lineRule="auto"/>
        <w:ind w:left="0" w:firstLine="562" w:firstLineChars="200"/>
        <w:rPr>
          <w:rFonts w:ascii="Arial Narrow" w:hAnsi="Arial Narrow" w:cs="Arial Narrow"/>
          <w:sz w:val="28"/>
          <w:szCs w:val="28"/>
        </w:rPr>
      </w:pPr>
      <w:bookmarkStart w:id="81" w:name="_Toc508451371"/>
      <w:r>
        <w:rPr>
          <w:rFonts w:ascii="Arial Narrow" w:hAnsi="Arial Narrow" w:cs="Arial Narrow"/>
          <w:sz w:val="28"/>
          <w:szCs w:val="28"/>
        </w:rPr>
        <w:t>评估方法</w:t>
      </w:r>
      <w:bookmarkEnd w:id="69"/>
      <w:bookmarkEnd w:id="70"/>
      <w:bookmarkEnd w:id="71"/>
      <w:bookmarkEnd w:id="81"/>
    </w:p>
    <w:p w14:paraId="5F87CEE9">
      <w:pPr>
        <w:pStyle w:val="4"/>
        <w:numPr>
          <w:ilvl w:val="0"/>
          <w:numId w:val="16"/>
        </w:numPr>
        <w:snapToGrid w:val="0"/>
        <w:spacing w:line="360" w:lineRule="auto"/>
        <w:rPr>
          <w:rFonts w:hint="eastAsia" w:ascii="宋体" w:hAnsi="宋体"/>
          <w:b/>
          <w:sz w:val="24"/>
          <w:szCs w:val="24"/>
        </w:rPr>
      </w:pPr>
      <w:r>
        <w:rPr>
          <w:rFonts w:hint="eastAsia" w:ascii="宋体" w:hAnsi="宋体"/>
          <w:b/>
          <w:sz w:val="24"/>
          <w:szCs w:val="24"/>
        </w:rPr>
        <w:t>评估方法简介</w:t>
      </w:r>
    </w:p>
    <w:p w14:paraId="78199875">
      <w:pPr>
        <w:pStyle w:val="4"/>
        <w:snapToGrid w:val="0"/>
        <w:spacing w:line="360" w:lineRule="auto"/>
        <w:ind w:firstLine="480" w:firstLineChars="200"/>
        <w:rPr>
          <w:rFonts w:hint="eastAsia" w:ascii="宋体" w:hAnsi="宋体"/>
          <w:sz w:val="24"/>
          <w:szCs w:val="24"/>
        </w:rPr>
      </w:pPr>
      <w:r>
        <w:rPr>
          <w:rFonts w:hint="eastAsia" w:ascii="宋体" w:hAnsi="宋体"/>
          <w:sz w:val="24"/>
          <w:szCs w:val="24"/>
        </w:rPr>
        <w:t>确定资产价值的评估方法包括市场法、收益法和资产基础法三种基本方法及其衍生方法。</w:t>
      </w:r>
    </w:p>
    <w:p w14:paraId="08FABC37">
      <w:pPr>
        <w:pStyle w:val="4"/>
        <w:snapToGrid w:val="0"/>
        <w:spacing w:line="360" w:lineRule="auto"/>
        <w:ind w:firstLine="480" w:firstLineChars="200"/>
        <w:rPr>
          <w:rFonts w:hint="eastAsia" w:ascii="宋体" w:hAnsi="宋体"/>
          <w:sz w:val="24"/>
          <w:szCs w:val="24"/>
        </w:rPr>
      </w:pPr>
      <w:r>
        <w:rPr>
          <w:rFonts w:hint="eastAsia" w:ascii="宋体" w:hAnsi="宋体"/>
          <w:sz w:val="24"/>
          <w:szCs w:val="24"/>
        </w:rPr>
        <w:t>企业价值评估中的市场法，是指将评估对象与可比上市公司或者可比交易案例进行比较，确定评估对象价值的评估方法。市场法常用的两种具体方法是上市公司比较法和交易案例比较法。</w:t>
      </w:r>
    </w:p>
    <w:p w14:paraId="16133943">
      <w:pPr>
        <w:pStyle w:val="4"/>
        <w:snapToGrid w:val="0"/>
        <w:spacing w:line="360" w:lineRule="auto"/>
        <w:ind w:firstLine="480" w:firstLineChars="200"/>
        <w:rPr>
          <w:rFonts w:hint="eastAsia" w:ascii="宋体" w:hAnsi="宋体"/>
          <w:sz w:val="24"/>
          <w:szCs w:val="24"/>
        </w:rPr>
      </w:pPr>
      <w:r>
        <w:rPr>
          <w:rFonts w:hint="eastAsia" w:ascii="宋体" w:hAnsi="宋体"/>
          <w:sz w:val="24"/>
          <w:szCs w:val="24"/>
        </w:rPr>
        <w:t>企业价值评估中的收益法，是指将预期收益资本化或者折现，确定评估对象价值的评估方法。收益法常用的具体方法包括股利折现法和现金流量折现法。收益法是从企业获利能力的角度衡量企业的价值，建立在经济学的预期效用理论基础上。</w:t>
      </w:r>
    </w:p>
    <w:p w14:paraId="7A888A6A">
      <w:pPr>
        <w:pStyle w:val="4"/>
        <w:snapToGrid w:val="0"/>
        <w:spacing w:line="360" w:lineRule="auto"/>
        <w:ind w:firstLine="480" w:firstLineChars="200"/>
        <w:rPr>
          <w:rFonts w:hint="eastAsia" w:ascii="宋体" w:hAnsi="宋体"/>
          <w:sz w:val="24"/>
          <w:szCs w:val="24"/>
        </w:rPr>
      </w:pPr>
      <w:r>
        <w:rPr>
          <w:rFonts w:hint="eastAsia" w:ascii="宋体" w:hAnsi="宋体"/>
          <w:sz w:val="24"/>
          <w:szCs w:val="24"/>
        </w:rPr>
        <w:t>企业价值评估中的资产基础法也称成本法，是指以被评估单位评估基准日的资产负债表为基础，评估表内及可识别的表外各项资产、负债价值，确定评估对象价值的评估方法。</w:t>
      </w:r>
    </w:p>
    <w:p w14:paraId="633304DC">
      <w:pPr>
        <w:pStyle w:val="4"/>
        <w:numPr>
          <w:ilvl w:val="0"/>
          <w:numId w:val="16"/>
        </w:numPr>
        <w:snapToGrid w:val="0"/>
        <w:spacing w:line="360" w:lineRule="auto"/>
        <w:rPr>
          <w:rFonts w:hint="eastAsia" w:ascii="宋体" w:hAnsi="宋体"/>
          <w:b/>
          <w:sz w:val="24"/>
          <w:szCs w:val="24"/>
        </w:rPr>
      </w:pPr>
      <w:r>
        <w:rPr>
          <w:rFonts w:hint="eastAsia" w:ascii="宋体" w:hAnsi="宋体"/>
          <w:b/>
          <w:sz w:val="24"/>
          <w:szCs w:val="24"/>
        </w:rPr>
        <w:t>评估方法的选择</w:t>
      </w:r>
    </w:p>
    <w:p w14:paraId="374E4B9B">
      <w:pPr>
        <w:pStyle w:val="4"/>
        <w:snapToGrid w:val="0"/>
        <w:spacing w:line="360" w:lineRule="auto"/>
        <w:ind w:firstLine="480" w:firstLineChars="200"/>
        <w:rPr>
          <w:rFonts w:hint="eastAsia" w:ascii="宋体" w:hAnsi="宋体"/>
          <w:sz w:val="24"/>
          <w:szCs w:val="24"/>
        </w:rPr>
      </w:pPr>
      <w:r>
        <w:rPr>
          <w:rFonts w:hint="eastAsia" w:ascii="宋体" w:hAnsi="宋体"/>
          <w:sz w:val="24"/>
          <w:szCs w:val="24"/>
        </w:rPr>
        <w:t>资产基础法是以资产负债表为基础，合理评估企业表内及表外各项资产、负债价值，确定评估对象价值的评估方法，结合本次评估情况，被评估单位可以提供、评估师也可以从外部收集到满足资产基础法所需的资料，可以对被评估单位资产及负债展开全面的清查和评估，因此本次评估适用资产基础法；</w:t>
      </w:r>
    </w:p>
    <w:p w14:paraId="51B7516C">
      <w:pPr>
        <w:pStyle w:val="4"/>
        <w:snapToGrid w:val="0"/>
        <w:spacing w:line="360" w:lineRule="auto"/>
        <w:ind w:firstLine="480" w:firstLineChars="200"/>
        <w:rPr>
          <w:rFonts w:hint="eastAsia" w:ascii="宋体" w:hAnsi="宋体"/>
          <w:sz w:val="24"/>
          <w:szCs w:val="24"/>
        </w:rPr>
      </w:pPr>
      <w:r>
        <w:rPr>
          <w:rFonts w:hint="eastAsia" w:ascii="宋体" w:hAnsi="宋体"/>
          <w:sz w:val="24"/>
          <w:szCs w:val="24"/>
        </w:rPr>
        <w:t>收益法的基础是经济学的预期效用理论，即对投资者来讲，企业的价值在于预期企业未来所能够产生的收益。收益法虽然没有直接利用现实市场上的参照物来说明评估对象的现行公平市场价值，但它是从决定资产现行公平市场价值的基本依据—资产的预期获利能力的角度评价资产，能完整体现企业的整体价值，其评估结论具有较好的可靠性和说服力。从收益法适用条件来看，由于企业具有独立的获利能力且被评估单位管理层提供了未来年度的盈利预测数据，根据企业历史经营数据、内外部经营环境能够合理预计企业未来的盈利水平，并且未来收益的风险可以合理量化，因此本次评估适用收益法。</w:t>
      </w:r>
    </w:p>
    <w:p w14:paraId="00BB8D75">
      <w:pPr>
        <w:numPr>
          <w:ilvl w:val="0"/>
          <w:numId w:val="16"/>
        </w:numPr>
        <w:spacing w:before="120" w:beforeLines="50" w:line="360" w:lineRule="auto"/>
        <w:rPr>
          <w:rFonts w:hint="eastAsia" w:cs="Arial Narrow" w:asciiTheme="minorEastAsia" w:hAnsiTheme="minorEastAsia" w:eastAsiaTheme="minorEastAsia"/>
          <w:b/>
          <w:sz w:val="24"/>
          <w:szCs w:val="24"/>
        </w:rPr>
      </w:pPr>
      <w:r>
        <w:rPr>
          <w:rFonts w:hint="eastAsia" w:cs="Arial Narrow" w:asciiTheme="minorEastAsia" w:hAnsiTheme="minorEastAsia" w:eastAsiaTheme="minorEastAsia"/>
          <w:b/>
          <w:sz w:val="24"/>
          <w:szCs w:val="24"/>
        </w:rPr>
        <w:t xml:space="preserve">收益法简介 </w:t>
      </w:r>
    </w:p>
    <w:p w14:paraId="362E603A">
      <w:pPr>
        <w:numPr>
          <w:ilvl w:val="0"/>
          <w:numId w:val="17"/>
        </w:numPr>
        <w:tabs>
          <w:tab w:val="left" w:pos="900"/>
        </w:tabs>
        <w:spacing w:line="360" w:lineRule="auto"/>
        <w:ind w:firstLine="480"/>
        <w:rPr>
          <w:rFonts w:ascii="Arial Narrow" w:hAnsi="Arial Narrow" w:cs="Arial Narrow"/>
          <w:sz w:val="24"/>
          <w:szCs w:val="24"/>
        </w:rPr>
      </w:pPr>
      <w:r>
        <w:rPr>
          <w:rFonts w:hint="eastAsia" w:ascii="Arial Narrow" w:hAnsi="Arial Narrow" w:cs="Arial Narrow"/>
          <w:sz w:val="24"/>
          <w:szCs w:val="24"/>
        </w:rPr>
        <w:t>概述</w:t>
      </w:r>
    </w:p>
    <w:p w14:paraId="2C2E56AE">
      <w:pPr>
        <w:spacing w:line="360" w:lineRule="auto"/>
        <w:ind w:firstLine="480" w:firstLineChars="200"/>
        <w:rPr>
          <w:rFonts w:ascii="Arial Narrow" w:hAnsi="Arial Narrow" w:cs="Arial Narrow"/>
          <w:bCs/>
          <w:sz w:val="24"/>
          <w:szCs w:val="24"/>
        </w:rPr>
      </w:pPr>
      <w:r>
        <w:rPr>
          <w:rFonts w:hint="eastAsia" w:ascii="Arial Narrow" w:hAnsi="Arial Narrow" w:cs="Arial Narrow"/>
          <w:bCs/>
          <w:sz w:val="24"/>
          <w:szCs w:val="24"/>
        </w:rPr>
        <w:t>本次评估所采用收益法，系通过资产在未来预期的净现金流量和采用适宜的折现率折算成现时价值，得出评估价值。其适用的基本条件是：企业具备持续经营的基础和条件，资产经营与收益之间存有较稳定的对应关系，并且未来收益和风险能够预测及可量化。</w:t>
      </w:r>
    </w:p>
    <w:p w14:paraId="08C02CB4">
      <w:pPr>
        <w:spacing w:line="360" w:lineRule="auto"/>
        <w:ind w:firstLine="480" w:firstLineChars="200"/>
        <w:rPr>
          <w:rFonts w:ascii="Arial Narrow" w:hAnsi="Arial Narrow" w:cs="Arial Narrow"/>
          <w:bCs/>
          <w:sz w:val="24"/>
          <w:szCs w:val="24"/>
        </w:rPr>
      </w:pPr>
      <w:r>
        <w:rPr>
          <w:rFonts w:hint="eastAsia" w:ascii="Arial Narrow" w:hAnsi="Arial Narrow" w:cs="Arial Narrow"/>
          <w:bCs/>
          <w:sz w:val="24"/>
          <w:szCs w:val="24"/>
        </w:rPr>
        <w:t>本次评估采用收益现值法通过对企业整体价值的评估来间接获得净资产价值。本次收益法评估模型选用企业自由现金流。</w:t>
      </w:r>
    </w:p>
    <w:p w14:paraId="4F7FA08C">
      <w:pPr>
        <w:spacing w:line="360" w:lineRule="auto"/>
        <w:ind w:firstLine="480" w:firstLineChars="200"/>
        <w:rPr>
          <w:rFonts w:ascii="Arial Narrow" w:hAnsi="Arial Narrow" w:cs="Arial Narrow"/>
          <w:bCs/>
          <w:sz w:val="24"/>
          <w:szCs w:val="24"/>
        </w:rPr>
      </w:pPr>
      <w:r>
        <w:rPr>
          <w:rFonts w:hint="eastAsia" w:ascii="Arial Narrow" w:hAnsi="Arial Narrow" w:cs="Arial Narrow"/>
          <w:bCs/>
          <w:sz w:val="24"/>
          <w:szCs w:val="24"/>
        </w:rPr>
        <w:t>企业整体价值=经营性资产价值+溢余资产价值+非经营性资产价值-非经营性负债价值</w:t>
      </w:r>
    </w:p>
    <w:p w14:paraId="6E3F0CAC">
      <w:pPr>
        <w:spacing w:line="360" w:lineRule="auto"/>
        <w:ind w:firstLine="480" w:firstLineChars="200"/>
        <w:rPr>
          <w:rFonts w:ascii="Arial Narrow" w:hAnsi="Arial Narrow" w:cs="Arial Narrow"/>
          <w:bCs/>
          <w:sz w:val="24"/>
          <w:szCs w:val="24"/>
        </w:rPr>
      </w:pPr>
      <w:r>
        <w:rPr>
          <w:rFonts w:hint="eastAsia" w:ascii="Arial Narrow" w:hAnsi="Arial Narrow" w:cs="Arial Narrow"/>
          <w:bCs/>
          <w:sz w:val="24"/>
          <w:szCs w:val="24"/>
        </w:rPr>
        <w:t>净资产价值=企业整体价值-付息负债。</w:t>
      </w:r>
    </w:p>
    <w:p w14:paraId="03D61F52">
      <w:pPr>
        <w:spacing w:line="360" w:lineRule="auto"/>
        <w:ind w:firstLine="480" w:firstLineChars="200"/>
        <w:rPr>
          <w:rFonts w:ascii="Arial Narrow" w:hAnsi="Arial Narrow" w:cs="Arial Narrow"/>
          <w:bCs/>
          <w:sz w:val="24"/>
          <w:szCs w:val="24"/>
        </w:rPr>
      </w:pPr>
      <w:r>
        <w:rPr>
          <w:rFonts w:hint="eastAsia" w:ascii="Arial Narrow" w:hAnsi="Arial Narrow" w:cs="Arial Narrow"/>
          <w:bCs/>
          <w:sz w:val="24"/>
          <w:szCs w:val="24"/>
        </w:rPr>
        <w:t>根据现场调查结果以及和县飞雁的资产构成和经营业务的特点，本次评估的基本思路是以财务报表为基础估算其价值，首先按照收益途径使用现金流折现方法（DCF），估算经营性资产价值，再考虑评估基准日的溢余性资产、非经营性资产或负债价值等，最终求得其净资产价值。</w:t>
      </w:r>
    </w:p>
    <w:p w14:paraId="487C3194">
      <w:pPr>
        <w:spacing w:line="360" w:lineRule="auto"/>
        <w:ind w:firstLine="480" w:firstLineChars="200"/>
        <w:rPr>
          <w:rFonts w:ascii="Arial Narrow" w:hAnsi="Arial Narrow" w:cs="Arial Narrow"/>
          <w:bCs/>
          <w:sz w:val="24"/>
          <w:szCs w:val="24"/>
        </w:rPr>
      </w:pPr>
      <w:r>
        <w:rPr>
          <w:rFonts w:hint="eastAsia" w:ascii="Arial Narrow" w:hAnsi="Arial Narrow" w:cs="Arial Narrow"/>
          <w:bCs/>
          <w:sz w:val="24"/>
          <w:szCs w:val="24"/>
        </w:rPr>
        <w:t>其中：</w:t>
      </w:r>
    </w:p>
    <w:p w14:paraId="5F86DBB9">
      <w:pPr>
        <w:spacing w:line="360" w:lineRule="auto"/>
        <w:ind w:firstLine="480" w:firstLineChars="200"/>
        <w:rPr>
          <w:rFonts w:ascii="Arial Narrow" w:hAnsi="Arial Narrow" w:cs="Arial Narrow"/>
          <w:bCs/>
          <w:sz w:val="24"/>
          <w:szCs w:val="24"/>
        </w:rPr>
      </w:pPr>
      <w:r>
        <w:rPr>
          <w:rFonts w:hint="eastAsia" w:ascii="Arial Narrow" w:hAnsi="Arial Narrow" w:cs="Arial Narrow"/>
          <w:bCs/>
          <w:sz w:val="24"/>
          <w:szCs w:val="24"/>
        </w:rPr>
        <w:t>付息负债：指基准日账面上需要付息的债务，包括短期借款、一年内到期非流动负债、长期借款和长期应付款等。</w:t>
      </w:r>
    </w:p>
    <w:p w14:paraId="53A823B2">
      <w:pPr>
        <w:spacing w:line="360" w:lineRule="auto"/>
        <w:ind w:firstLine="480" w:firstLineChars="200"/>
        <w:rPr>
          <w:rFonts w:ascii="Arial Narrow" w:hAnsi="Arial Narrow" w:cs="Arial Narrow"/>
          <w:bCs/>
          <w:sz w:val="24"/>
          <w:szCs w:val="24"/>
        </w:rPr>
      </w:pPr>
      <w:r>
        <w:rPr>
          <w:rFonts w:hint="eastAsia" w:ascii="Arial Narrow" w:hAnsi="Arial Narrow" w:cs="Arial Narrow"/>
          <w:bCs/>
          <w:sz w:val="24"/>
          <w:szCs w:val="24"/>
        </w:rPr>
        <w:t>溢余资产：指与企业收益无直接关系的，超过企业经营所需的多余资产。</w:t>
      </w:r>
    </w:p>
    <w:p w14:paraId="746E352F">
      <w:pPr>
        <w:spacing w:line="360" w:lineRule="auto"/>
        <w:ind w:firstLine="480" w:firstLineChars="200"/>
        <w:rPr>
          <w:rFonts w:ascii="Arial Narrow" w:hAnsi="Arial Narrow" w:cs="Arial Narrow"/>
          <w:bCs/>
          <w:sz w:val="24"/>
          <w:szCs w:val="24"/>
        </w:rPr>
      </w:pPr>
      <w:r>
        <w:rPr>
          <w:rFonts w:hint="eastAsia" w:ascii="Arial Narrow" w:hAnsi="Arial Narrow" w:cs="Arial Narrow"/>
          <w:bCs/>
          <w:sz w:val="24"/>
          <w:szCs w:val="24"/>
        </w:rPr>
        <w:t>非经营性资产、负债：指与企业主营业务收益无直接关系的，不产生效益的资产、负债。其价值根据资产的具体情况，分别选用成本法或市场法确定其基准日的价值。。</w:t>
      </w:r>
    </w:p>
    <w:p w14:paraId="42FB3DE4">
      <w:pPr>
        <w:numPr>
          <w:ilvl w:val="0"/>
          <w:numId w:val="17"/>
        </w:numPr>
        <w:tabs>
          <w:tab w:val="left" w:pos="900"/>
        </w:tabs>
        <w:spacing w:line="360" w:lineRule="auto"/>
        <w:ind w:firstLine="480"/>
        <w:rPr>
          <w:rFonts w:ascii="Arial Narrow" w:hAnsi="Arial Narrow" w:cs="Arial Narrow"/>
          <w:sz w:val="24"/>
          <w:szCs w:val="24"/>
        </w:rPr>
      </w:pPr>
      <w:r>
        <w:rPr>
          <w:rFonts w:hint="eastAsia" w:ascii="Arial Narrow" w:hAnsi="Arial Narrow" w:cs="Arial Narrow"/>
          <w:sz w:val="24"/>
          <w:szCs w:val="24"/>
        </w:rPr>
        <w:t>评估模型</w:t>
      </w:r>
    </w:p>
    <w:p w14:paraId="3B822A5F">
      <w:pPr>
        <w:spacing w:line="360" w:lineRule="auto"/>
        <w:ind w:firstLine="480" w:firstLineChars="200"/>
        <w:rPr>
          <w:rFonts w:hint="eastAsia" w:cs="Arial Narrow" w:asciiTheme="minorEastAsia" w:hAnsiTheme="minorEastAsia" w:eastAsiaTheme="minorEastAsia"/>
          <w:bCs/>
          <w:sz w:val="24"/>
          <w:szCs w:val="24"/>
        </w:rPr>
      </w:pPr>
      <w:r>
        <w:rPr>
          <w:rFonts w:hint="eastAsia" w:cs="Arial Narrow" w:asciiTheme="minorEastAsia" w:hAnsiTheme="minorEastAsia" w:eastAsiaTheme="minorEastAsia"/>
          <w:bCs/>
          <w:sz w:val="24"/>
          <w:szCs w:val="24"/>
        </w:rPr>
        <w:t>经营性资产价值按以下公式确定：</w:t>
      </w:r>
    </w:p>
    <w:p w14:paraId="0BA0507D">
      <w:pPr>
        <w:spacing w:line="360" w:lineRule="auto"/>
        <w:ind w:firstLine="680" w:firstLineChars="200"/>
        <w:rPr>
          <w:rFonts w:hint="eastAsia" w:cs="Arial Narrow" w:asciiTheme="minorEastAsia" w:hAnsiTheme="minorEastAsia" w:eastAsiaTheme="minorEastAsia"/>
          <w:bCs/>
          <w:sz w:val="24"/>
          <w:szCs w:val="24"/>
        </w:rPr>
      </w:pPr>
      <w:bookmarkStart w:id="82" w:name="_Toc93005746"/>
      <w:r>
        <w:rPr>
          <w:rFonts w:ascii="Arial" w:hAnsi="Arial"/>
          <w:bCs/>
          <w:szCs w:val="24"/>
        </w:rPr>
        <w:drawing>
          <wp:inline distT="0" distB="0" distL="0" distR="0">
            <wp:extent cx="2819400" cy="388620"/>
            <wp:effectExtent l="0" t="0" r="0" b="0"/>
            <wp:docPr id="1"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a:xfrm>
                      <a:off x="0" y="0"/>
                      <a:ext cx="2819400" cy="388620"/>
                    </a:xfrm>
                    <a:prstGeom prst="rect">
                      <a:avLst/>
                    </a:prstGeom>
                    <a:noFill/>
                    <a:ln>
                      <a:noFill/>
                    </a:ln>
                  </pic:spPr>
                </pic:pic>
              </a:graphicData>
            </a:graphic>
          </wp:inline>
        </w:drawing>
      </w:r>
      <w:bookmarkEnd w:id="82"/>
    </w:p>
    <w:p w14:paraId="203C73F3">
      <w:pPr>
        <w:spacing w:line="360" w:lineRule="auto"/>
        <w:ind w:firstLine="480" w:firstLineChars="200"/>
        <w:rPr>
          <w:rFonts w:hint="eastAsia" w:cs="Arial Narrow" w:asciiTheme="minorEastAsia" w:hAnsiTheme="minorEastAsia" w:eastAsiaTheme="minorEastAsia"/>
          <w:bCs/>
          <w:sz w:val="24"/>
          <w:szCs w:val="24"/>
        </w:rPr>
      </w:pPr>
      <w:r>
        <w:rPr>
          <w:rFonts w:cs="Arial Narrow" w:asciiTheme="minorEastAsia" w:hAnsiTheme="minorEastAsia" w:eastAsiaTheme="minorEastAsia"/>
          <w:bCs/>
          <w:sz w:val="24"/>
          <w:szCs w:val="24"/>
        </w:rPr>
        <w:t xml:space="preserve"> </w:t>
      </w:r>
      <w:bookmarkStart w:id="83" w:name="_Hlk116555749"/>
      <w:r>
        <w:rPr>
          <w:rFonts w:hint="eastAsia" w:cs="Arial Narrow" w:asciiTheme="minorEastAsia" w:hAnsiTheme="minorEastAsia" w:eastAsiaTheme="minorEastAsia"/>
          <w:bCs/>
          <w:sz w:val="24"/>
          <w:szCs w:val="24"/>
        </w:rPr>
        <w:t>式中：P：为公司经营性资产的评估价值；</w:t>
      </w:r>
    </w:p>
    <w:p w14:paraId="4A38EF05">
      <w:pPr>
        <w:spacing w:line="360" w:lineRule="auto"/>
        <w:ind w:firstLine="1200" w:firstLineChars="500"/>
        <w:rPr>
          <w:rFonts w:hint="eastAsia" w:cs="Arial Narrow" w:asciiTheme="minorEastAsia" w:hAnsiTheme="minorEastAsia" w:eastAsiaTheme="minorEastAsia"/>
          <w:bCs/>
          <w:sz w:val="24"/>
          <w:szCs w:val="24"/>
        </w:rPr>
      </w:pPr>
      <w:r>
        <w:rPr>
          <w:rFonts w:hint="eastAsia" w:cs="Arial Narrow" w:asciiTheme="minorEastAsia" w:hAnsiTheme="minorEastAsia" w:eastAsiaTheme="minorEastAsia"/>
          <w:bCs/>
          <w:sz w:val="24"/>
          <w:szCs w:val="24"/>
        </w:rPr>
        <w:t>Ai：为公司未来第 i年的净现金流量；</w:t>
      </w:r>
    </w:p>
    <w:p w14:paraId="05366012">
      <w:pPr>
        <w:spacing w:line="360" w:lineRule="auto"/>
        <w:ind w:firstLine="1200" w:firstLineChars="500"/>
        <w:rPr>
          <w:rFonts w:hint="eastAsia" w:cs="Arial Narrow" w:asciiTheme="minorEastAsia" w:hAnsiTheme="minorEastAsia" w:eastAsiaTheme="minorEastAsia"/>
          <w:bCs/>
          <w:sz w:val="24"/>
          <w:szCs w:val="24"/>
        </w:rPr>
      </w:pPr>
      <w:r>
        <w:rPr>
          <w:rFonts w:hint="eastAsia" w:cs="Arial Narrow" w:asciiTheme="minorEastAsia" w:hAnsiTheme="minorEastAsia" w:eastAsiaTheme="minorEastAsia"/>
          <w:bCs/>
          <w:sz w:val="24"/>
          <w:szCs w:val="24"/>
        </w:rPr>
        <w:t>A：为未来第 N1年以后永续等额净现金流量；</w:t>
      </w:r>
    </w:p>
    <w:p w14:paraId="1210506F">
      <w:pPr>
        <w:spacing w:line="360" w:lineRule="auto"/>
        <w:ind w:firstLine="1200" w:firstLineChars="500"/>
        <w:rPr>
          <w:rFonts w:hint="eastAsia" w:cs="Arial Narrow" w:asciiTheme="minorEastAsia" w:hAnsiTheme="minorEastAsia" w:eastAsiaTheme="minorEastAsia"/>
          <w:bCs/>
          <w:sz w:val="24"/>
          <w:szCs w:val="24"/>
        </w:rPr>
      </w:pPr>
      <w:r>
        <w:rPr>
          <w:rFonts w:hint="eastAsia" w:cs="Arial Narrow" w:asciiTheme="minorEastAsia" w:hAnsiTheme="minorEastAsia" w:eastAsiaTheme="minorEastAsia"/>
          <w:bCs/>
          <w:sz w:val="24"/>
          <w:szCs w:val="24"/>
        </w:rPr>
        <w:t>R：为折现率；</w:t>
      </w:r>
    </w:p>
    <w:p w14:paraId="16EA6727">
      <w:pPr>
        <w:spacing w:line="360" w:lineRule="auto"/>
        <w:ind w:firstLine="1200" w:firstLineChars="500"/>
        <w:rPr>
          <w:rFonts w:hint="eastAsia" w:cs="Arial Narrow" w:asciiTheme="minorEastAsia" w:hAnsiTheme="minorEastAsia" w:eastAsiaTheme="minorEastAsia"/>
          <w:bCs/>
          <w:sz w:val="24"/>
          <w:szCs w:val="24"/>
        </w:rPr>
      </w:pPr>
      <w:r>
        <w:rPr>
          <w:rFonts w:hint="eastAsia" w:cs="Arial Narrow" w:asciiTheme="minorEastAsia" w:hAnsiTheme="minorEastAsia" w:eastAsiaTheme="minorEastAsia"/>
          <w:bCs/>
          <w:sz w:val="24"/>
          <w:szCs w:val="24"/>
        </w:rPr>
        <w:t>(1+R)-i：为第 i年的折现系数。</w:t>
      </w:r>
    </w:p>
    <w:p w14:paraId="3983F8D1">
      <w:pPr>
        <w:spacing w:line="360" w:lineRule="auto"/>
        <w:ind w:firstLine="480" w:firstLineChars="200"/>
        <w:rPr>
          <w:rFonts w:hint="eastAsia" w:cs="Arial Narrow" w:asciiTheme="minorEastAsia" w:hAnsiTheme="minorEastAsia" w:eastAsiaTheme="minorEastAsia"/>
          <w:bCs/>
          <w:sz w:val="24"/>
          <w:szCs w:val="24"/>
        </w:rPr>
      </w:pPr>
      <w:r>
        <w:rPr>
          <w:rFonts w:hint="eastAsia" w:cs="Arial Narrow" w:asciiTheme="minorEastAsia" w:hAnsiTheme="minorEastAsia" w:eastAsiaTheme="minorEastAsia"/>
          <w:bCs/>
          <w:sz w:val="24"/>
          <w:szCs w:val="24"/>
        </w:rPr>
        <w:t>本次评估，使用企业自由现金流量作为经营性资产的收益指标，其基本定义为：</w:t>
      </w:r>
    </w:p>
    <w:p w14:paraId="16ED45DE">
      <w:pPr>
        <w:spacing w:line="360" w:lineRule="auto"/>
        <w:ind w:firstLine="480" w:firstLineChars="200"/>
        <w:rPr>
          <w:rFonts w:hint="eastAsia" w:cs="Arial Narrow" w:asciiTheme="minorEastAsia" w:hAnsiTheme="minorEastAsia" w:eastAsiaTheme="minorEastAsia"/>
          <w:bCs/>
          <w:sz w:val="24"/>
          <w:szCs w:val="24"/>
        </w:rPr>
      </w:pPr>
      <w:r>
        <w:rPr>
          <w:rFonts w:hint="eastAsia" w:cs="Arial Narrow" w:asciiTheme="minorEastAsia" w:hAnsiTheme="minorEastAsia" w:eastAsiaTheme="minorEastAsia"/>
          <w:bCs/>
          <w:sz w:val="24"/>
          <w:szCs w:val="24"/>
        </w:rPr>
        <w:t>企业自由现金流量=净利润+折旧及摊销+借款利息（税后）-资本性支出－净营运资金变动。</w:t>
      </w:r>
    </w:p>
    <w:p w14:paraId="279E0441">
      <w:pPr>
        <w:spacing w:line="360" w:lineRule="auto"/>
        <w:ind w:firstLine="480" w:firstLineChars="200"/>
        <w:rPr>
          <w:rFonts w:hint="eastAsia" w:cs="Arial Narrow" w:asciiTheme="minorEastAsia" w:hAnsiTheme="minorEastAsia" w:eastAsiaTheme="minorEastAsia"/>
          <w:bCs/>
          <w:sz w:val="24"/>
          <w:szCs w:val="24"/>
        </w:rPr>
      </w:pPr>
      <w:r>
        <w:rPr>
          <w:rFonts w:hint="eastAsia" w:cs="Arial Narrow" w:asciiTheme="minorEastAsia" w:hAnsiTheme="minorEastAsia" w:eastAsiaTheme="minorEastAsia"/>
          <w:bCs/>
          <w:sz w:val="24"/>
          <w:szCs w:val="24"/>
        </w:rPr>
        <w:t>根据和县飞雁的经营历史以及未来市场发展情况等，测算其未来预测期内的企业自由现金流量。其次，假定预测期后，和县飞雁仍可持续经营一个较长的时期。在这个时期中，其收益保持预测期内最后一年的等额自由现金流量。最后，将两部分的自由现金流量进行折现处理加和，得到经营性资产价值。</w:t>
      </w:r>
    </w:p>
    <w:p w14:paraId="74160AB3">
      <w:pPr>
        <w:spacing w:line="360" w:lineRule="auto"/>
        <w:ind w:firstLine="480" w:firstLineChars="200"/>
        <w:rPr>
          <w:rFonts w:hint="eastAsia" w:cs="Arial Narrow" w:asciiTheme="minorEastAsia" w:hAnsiTheme="minorEastAsia" w:eastAsiaTheme="minorEastAsia"/>
          <w:bCs/>
          <w:sz w:val="24"/>
          <w:szCs w:val="24"/>
        </w:rPr>
      </w:pPr>
      <w:r>
        <w:rPr>
          <w:rFonts w:hint="eastAsia" w:cs="Arial Narrow" w:asciiTheme="minorEastAsia" w:hAnsiTheme="minorEastAsia" w:eastAsiaTheme="minorEastAsia"/>
          <w:bCs/>
          <w:sz w:val="24"/>
          <w:szCs w:val="24"/>
        </w:rPr>
        <w:t>（2）折现率</w:t>
      </w:r>
    </w:p>
    <w:p w14:paraId="0CA5741C">
      <w:pPr>
        <w:spacing w:line="360" w:lineRule="auto"/>
        <w:ind w:firstLine="480" w:firstLineChars="200"/>
        <w:rPr>
          <w:rFonts w:hint="eastAsia" w:cs="Arial Narrow" w:asciiTheme="minorEastAsia" w:hAnsiTheme="minorEastAsia" w:eastAsiaTheme="minorEastAsia"/>
          <w:bCs/>
          <w:sz w:val="24"/>
          <w:szCs w:val="24"/>
        </w:rPr>
      </w:pPr>
      <w:r>
        <w:rPr>
          <w:rFonts w:hint="eastAsia" w:cs="Arial Narrow" w:asciiTheme="minorEastAsia" w:hAnsiTheme="minorEastAsia" w:eastAsiaTheme="minorEastAsia"/>
          <w:bCs/>
          <w:sz w:val="24"/>
          <w:szCs w:val="24"/>
        </w:rPr>
        <w:t>折现率是将未来有限期的预期收益换算成现值的比率。按照收益额与折现率口径一致的原则，本次评估收益额口径为企业净现金流量，则折现率选取加权平均资本成本 WACC。</w:t>
      </w:r>
    </w:p>
    <w:p w14:paraId="42640C0C">
      <w:pPr>
        <w:spacing w:line="360" w:lineRule="auto"/>
        <w:ind w:firstLine="480" w:firstLineChars="200"/>
        <w:rPr>
          <w:rFonts w:hint="eastAsia" w:cs="Arial Narrow" w:asciiTheme="minorEastAsia" w:hAnsiTheme="minorEastAsia" w:eastAsiaTheme="minorEastAsia"/>
          <w:bCs/>
          <w:sz w:val="24"/>
          <w:szCs w:val="24"/>
        </w:rPr>
      </w:pPr>
      <w:r>
        <w:rPr>
          <w:rFonts w:cs="Arial Narrow" w:asciiTheme="minorEastAsia" w:hAnsiTheme="minorEastAsia" w:eastAsiaTheme="minorEastAsia"/>
          <w:bCs/>
          <w:sz w:val="24"/>
          <w:szCs w:val="24"/>
        </w:rPr>
        <w:drawing>
          <wp:anchor distT="0" distB="0" distL="114300" distR="114300" simplePos="0" relativeHeight="251661312" behindDoc="1" locked="0" layoutInCell="1" allowOverlap="1">
            <wp:simplePos x="0" y="0"/>
            <wp:positionH relativeFrom="page">
              <wp:posOffset>1179195</wp:posOffset>
            </wp:positionH>
            <wp:positionV relativeFrom="page">
              <wp:posOffset>3790315</wp:posOffset>
            </wp:positionV>
            <wp:extent cx="4129405" cy="260985"/>
            <wp:effectExtent l="0" t="0" r="0" b="0"/>
            <wp:wrapNone/>
            <wp:docPr id="3"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3"/>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a:xfrm>
                      <a:off x="0" y="0"/>
                      <a:ext cx="4129405" cy="260985"/>
                    </a:xfrm>
                    <a:prstGeom prst="rect">
                      <a:avLst/>
                    </a:prstGeom>
                    <a:noFill/>
                    <a:ln>
                      <a:noFill/>
                    </a:ln>
                  </pic:spPr>
                </pic:pic>
              </a:graphicData>
            </a:graphic>
          </wp:anchor>
        </w:drawing>
      </w:r>
      <w:r>
        <w:rPr>
          <w:rFonts w:hint="eastAsia" w:cs="Arial Narrow" w:asciiTheme="minorEastAsia" w:hAnsiTheme="minorEastAsia" w:eastAsiaTheme="minorEastAsia"/>
          <w:bCs/>
          <w:sz w:val="24"/>
          <w:szCs w:val="24"/>
        </w:rPr>
        <w:t>资本加权平均成本（WACC）的计算公式为：</w:t>
      </w:r>
    </w:p>
    <w:p w14:paraId="132EF2D7">
      <w:pPr>
        <w:spacing w:line="360" w:lineRule="auto"/>
        <w:ind w:firstLine="480" w:firstLineChars="200"/>
        <w:rPr>
          <w:rFonts w:hint="eastAsia" w:cs="Arial Narrow" w:asciiTheme="minorEastAsia" w:hAnsiTheme="minorEastAsia" w:eastAsiaTheme="minorEastAsia"/>
          <w:bCs/>
          <w:sz w:val="24"/>
          <w:szCs w:val="24"/>
        </w:rPr>
      </w:pPr>
    </w:p>
    <w:p w14:paraId="0B26EAB7">
      <w:pPr>
        <w:spacing w:line="360" w:lineRule="auto"/>
        <w:ind w:firstLine="480" w:firstLineChars="200"/>
        <w:rPr>
          <w:rFonts w:hint="eastAsia" w:cs="Arial Narrow" w:asciiTheme="minorEastAsia" w:hAnsiTheme="minorEastAsia" w:eastAsiaTheme="minorEastAsia"/>
          <w:bCs/>
          <w:sz w:val="24"/>
          <w:szCs w:val="24"/>
        </w:rPr>
      </w:pPr>
      <w:r>
        <w:rPr>
          <w:rFonts w:hint="eastAsia" w:cs="Arial Narrow" w:asciiTheme="minorEastAsia" w:hAnsiTheme="minorEastAsia" w:eastAsiaTheme="minorEastAsia"/>
          <w:bCs/>
          <w:sz w:val="24"/>
          <w:szCs w:val="24"/>
        </w:rPr>
        <w:t>式中，E：权益的市场价值</w:t>
      </w:r>
    </w:p>
    <w:p w14:paraId="6F072254">
      <w:pPr>
        <w:spacing w:line="360" w:lineRule="auto"/>
        <w:ind w:firstLine="1200" w:firstLineChars="500"/>
        <w:rPr>
          <w:rFonts w:hint="eastAsia" w:cs="Arial Narrow" w:asciiTheme="minorEastAsia" w:hAnsiTheme="minorEastAsia" w:eastAsiaTheme="minorEastAsia"/>
          <w:bCs/>
          <w:sz w:val="24"/>
          <w:szCs w:val="24"/>
        </w:rPr>
      </w:pPr>
      <w:r>
        <w:rPr>
          <w:rFonts w:hint="eastAsia" w:cs="Arial Narrow" w:asciiTheme="minorEastAsia" w:hAnsiTheme="minorEastAsia" w:eastAsiaTheme="minorEastAsia"/>
          <w:bCs/>
          <w:sz w:val="24"/>
          <w:szCs w:val="24"/>
        </w:rPr>
        <w:t>D：债务的市场价值</w:t>
      </w:r>
      <w:bookmarkStart w:id="117" w:name="_GoBack"/>
      <w:bookmarkEnd w:id="117"/>
    </w:p>
    <w:p w14:paraId="7FBCE507">
      <w:pPr>
        <w:spacing w:line="360" w:lineRule="auto"/>
        <w:ind w:firstLine="1200" w:firstLineChars="500"/>
        <w:rPr>
          <w:rFonts w:hint="eastAsia" w:cs="Arial Narrow" w:asciiTheme="minorEastAsia" w:hAnsiTheme="minorEastAsia" w:eastAsiaTheme="minorEastAsia"/>
          <w:bCs/>
          <w:sz w:val="24"/>
          <w:szCs w:val="24"/>
        </w:rPr>
      </w:pPr>
      <w:r>
        <w:rPr>
          <w:rFonts w:hint="eastAsia" w:cs="Arial Narrow" w:asciiTheme="minorEastAsia" w:hAnsiTheme="minorEastAsia" w:eastAsiaTheme="minorEastAsia"/>
          <w:bCs/>
          <w:sz w:val="24"/>
          <w:szCs w:val="24"/>
        </w:rPr>
        <w:t>Ke：权益资本成本</w:t>
      </w:r>
    </w:p>
    <w:p w14:paraId="0CAB28C5">
      <w:pPr>
        <w:spacing w:line="360" w:lineRule="auto"/>
        <w:ind w:firstLine="1200" w:firstLineChars="500"/>
        <w:rPr>
          <w:rFonts w:hint="eastAsia" w:cs="Arial Narrow" w:asciiTheme="minorEastAsia" w:hAnsiTheme="minorEastAsia" w:eastAsiaTheme="minorEastAsia"/>
          <w:bCs/>
          <w:sz w:val="24"/>
          <w:szCs w:val="24"/>
        </w:rPr>
      </w:pPr>
      <w:r>
        <w:rPr>
          <w:rFonts w:hint="eastAsia" w:cs="Arial Narrow" w:asciiTheme="minorEastAsia" w:hAnsiTheme="minorEastAsia" w:eastAsiaTheme="minorEastAsia"/>
          <w:bCs/>
          <w:sz w:val="24"/>
          <w:szCs w:val="24"/>
        </w:rPr>
        <w:t>Kd：债务资本成本</w:t>
      </w:r>
    </w:p>
    <w:p w14:paraId="1D47BE59">
      <w:pPr>
        <w:spacing w:line="360" w:lineRule="auto"/>
        <w:ind w:firstLine="1200" w:firstLineChars="500"/>
        <w:rPr>
          <w:rFonts w:hint="eastAsia" w:cs="Arial Narrow" w:asciiTheme="minorEastAsia" w:hAnsiTheme="minorEastAsia" w:eastAsiaTheme="minorEastAsia"/>
          <w:bCs/>
          <w:sz w:val="24"/>
          <w:szCs w:val="24"/>
        </w:rPr>
      </w:pPr>
      <w:r>
        <w:rPr>
          <w:rFonts w:hint="eastAsia" w:cs="Arial Narrow" w:asciiTheme="minorEastAsia" w:hAnsiTheme="minorEastAsia" w:eastAsiaTheme="minorEastAsia"/>
          <w:bCs/>
          <w:sz w:val="24"/>
          <w:szCs w:val="24"/>
        </w:rPr>
        <w:t>T：被评估企业的所得税率</w:t>
      </w:r>
    </w:p>
    <w:p w14:paraId="645E1952">
      <w:pPr>
        <w:spacing w:line="360" w:lineRule="auto"/>
        <w:ind w:firstLine="480" w:firstLineChars="200"/>
        <w:rPr>
          <w:rFonts w:hint="eastAsia" w:cs="Arial Narrow" w:asciiTheme="minorEastAsia" w:hAnsiTheme="minorEastAsia" w:eastAsiaTheme="minorEastAsia"/>
          <w:bCs/>
          <w:sz w:val="24"/>
          <w:szCs w:val="24"/>
        </w:rPr>
      </w:pPr>
      <w:r>
        <w:rPr>
          <w:rFonts w:hint="eastAsia" w:cs="Arial Narrow" w:asciiTheme="minorEastAsia" w:hAnsiTheme="minorEastAsia" w:eastAsiaTheme="minorEastAsia"/>
          <w:bCs/>
          <w:sz w:val="24"/>
          <w:szCs w:val="24"/>
        </w:rPr>
        <w:t>其中：权益资本成本按国际通常使用的 CAPM模型进行求取：</w:t>
      </w:r>
    </w:p>
    <w:p w14:paraId="08FE5973">
      <w:pPr>
        <w:spacing w:line="360" w:lineRule="auto"/>
        <w:ind w:firstLine="480" w:firstLineChars="200"/>
        <w:rPr>
          <w:rFonts w:hint="eastAsia" w:cs="Arial Narrow" w:asciiTheme="minorEastAsia" w:hAnsiTheme="minorEastAsia" w:eastAsiaTheme="minorEastAsia"/>
          <w:bCs/>
          <w:sz w:val="24"/>
          <w:szCs w:val="24"/>
        </w:rPr>
      </w:pPr>
      <w:r>
        <w:rPr>
          <w:rFonts w:hint="eastAsia" w:cs="Arial Narrow" w:asciiTheme="minorEastAsia" w:hAnsiTheme="minorEastAsia" w:eastAsiaTheme="minorEastAsia"/>
          <w:bCs/>
          <w:sz w:val="24"/>
          <w:szCs w:val="24"/>
        </w:rPr>
        <w:t>公式：</w:t>
      </w:r>
    </w:p>
    <w:p w14:paraId="20BA5185">
      <w:pPr>
        <w:spacing w:line="360" w:lineRule="auto"/>
        <w:ind w:firstLine="480" w:firstLineChars="200"/>
        <w:rPr>
          <w:rFonts w:hint="eastAsia" w:cs="Arial Narrow" w:asciiTheme="minorEastAsia" w:hAnsiTheme="minorEastAsia" w:eastAsiaTheme="minorEastAsia"/>
          <w:bCs/>
          <w:sz w:val="24"/>
          <w:szCs w:val="24"/>
        </w:rPr>
      </w:pPr>
      <w:r>
        <w:rPr>
          <w:rFonts w:cs="Arial Narrow" w:asciiTheme="minorEastAsia" w:hAnsiTheme="minorEastAsia" w:eastAsiaTheme="minorEastAsia"/>
          <w:bCs/>
          <w:sz w:val="24"/>
          <w:szCs w:val="24"/>
        </w:rPr>
        <w:t xml:space="preserve"> </w:t>
      </w:r>
      <w:r>
        <w:drawing>
          <wp:inline distT="0" distB="0" distL="0" distR="0">
            <wp:extent cx="2491740" cy="441960"/>
            <wp:effectExtent l="0" t="0" r="0" b="0"/>
            <wp:docPr id="4" name="图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a:xfrm>
                      <a:off x="0" y="0"/>
                      <a:ext cx="2491740" cy="441960"/>
                    </a:xfrm>
                    <a:prstGeom prst="rect">
                      <a:avLst/>
                    </a:prstGeom>
                    <a:noFill/>
                    <a:ln>
                      <a:noFill/>
                    </a:ln>
                  </pic:spPr>
                </pic:pic>
              </a:graphicData>
            </a:graphic>
          </wp:inline>
        </w:drawing>
      </w:r>
    </w:p>
    <w:p w14:paraId="26D60C65">
      <w:pPr>
        <w:spacing w:line="360" w:lineRule="auto"/>
        <w:ind w:firstLine="480" w:firstLineChars="200"/>
        <w:rPr>
          <w:rFonts w:hint="eastAsia" w:cs="Arial Narrow" w:asciiTheme="minorEastAsia" w:hAnsiTheme="minorEastAsia" w:eastAsiaTheme="minorEastAsia"/>
          <w:bCs/>
          <w:sz w:val="24"/>
          <w:szCs w:val="24"/>
        </w:rPr>
      </w:pPr>
      <w:r>
        <w:rPr>
          <w:rFonts w:hint="eastAsia" w:cs="Arial Narrow" w:asciiTheme="minorEastAsia" w:hAnsiTheme="minorEastAsia" w:eastAsiaTheme="minorEastAsia"/>
          <w:bCs/>
          <w:sz w:val="24"/>
          <w:szCs w:val="24"/>
        </w:rPr>
        <w:t>式中，Rf：无风险收益率</w:t>
      </w:r>
    </w:p>
    <w:p w14:paraId="7CA6578E">
      <w:pPr>
        <w:spacing w:line="360" w:lineRule="auto"/>
        <w:ind w:firstLine="1200" w:firstLineChars="500"/>
        <w:rPr>
          <w:rFonts w:hint="eastAsia" w:cs="Arial Narrow" w:asciiTheme="minorEastAsia" w:hAnsiTheme="minorEastAsia" w:eastAsiaTheme="minorEastAsia"/>
          <w:bCs/>
          <w:sz w:val="24"/>
          <w:szCs w:val="24"/>
        </w:rPr>
      </w:pPr>
      <w:r>
        <w:rPr>
          <w:rFonts w:hint="eastAsia" w:cs="Arial Narrow" w:asciiTheme="minorEastAsia" w:hAnsiTheme="minorEastAsia" w:eastAsiaTheme="minorEastAsia"/>
          <w:bCs/>
          <w:sz w:val="24"/>
          <w:szCs w:val="24"/>
        </w:rPr>
        <w:t>βL：权益的系统风险系数</w:t>
      </w:r>
    </w:p>
    <w:p w14:paraId="1479CCC3">
      <w:pPr>
        <w:spacing w:line="360" w:lineRule="auto"/>
        <w:ind w:firstLine="1200" w:firstLineChars="500"/>
        <w:rPr>
          <w:rFonts w:hint="eastAsia" w:cs="Arial Narrow" w:asciiTheme="minorEastAsia" w:hAnsiTheme="minorEastAsia" w:eastAsiaTheme="minorEastAsia"/>
          <w:bCs/>
          <w:sz w:val="24"/>
          <w:szCs w:val="24"/>
        </w:rPr>
      </w:pPr>
      <w:r>
        <w:rPr>
          <w:rFonts w:hint="eastAsia" w:cs="Arial Narrow" w:asciiTheme="minorEastAsia" w:hAnsiTheme="minorEastAsia" w:eastAsiaTheme="minorEastAsia"/>
          <w:bCs/>
          <w:sz w:val="24"/>
          <w:szCs w:val="24"/>
        </w:rPr>
        <w:t>RPm：市场风险溢价</w:t>
      </w:r>
    </w:p>
    <w:p w14:paraId="1FB11727">
      <w:pPr>
        <w:spacing w:line="360" w:lineRule="auto"/>
        <w:ind w:firstLine="1200" w:firstLineChars="500"/>
        <w:rPr>
          <w:rFonts w:hint="eastAsia" w:cs="Arial Narrow" w:asciiTheme="minorEastAsia" w:hAnsiTheme="minorEastAsia" w:eastAsiaTheme="minorEastAsia"/>
          <w:bCs/>
          <w:sz w:val="24"/>
          <w:szCs w:val="24"/>
        </w:rPr>
      </w:pPr>
      <w:r>
        <w:rPr>
          <w:rFonts w:hint="eastAsia" w:cs="Arial Narrow" w:asciiTheme="minorEastAsia" w:hAnsiTheme="minorEastAsia" w:eastAsiaTheme="minorEastAsia"/>
          <w:bCs/>
          <w:sz w:val="24"/>
          <w:szCs w:val="24"/>
        </w:rPr>
        <w:t>Rc：企业特定的风险调整系数。</w:t>
      </w:r>
    </w:p>
    <w:p w14:paraId="67D2037D">
      <w:pPr>
        <w:spacing w:line="360" w:lineRule="auto"/>
        <w:ind w:firstLine="480" w:firstLineChars="200"/>
        <w:rPr>
          <w:rFonts w:hint="eastAsia" w:cs="Arial Narrow" w:asciiTheme="minorEastAsia" w:hAnsiTheme="minorEastAsia" w:eastAsiaTheme="minorEastAsia"/>
          <w:bCs/>
          <w:sz w:val="24"/>
          <w:szCs w:val="24"/>
        </w:rPr>
      </w:pPr>
      <w:r>
        <w:rPr>
          <w:rFonts w:hint="eastAsia" w:cs="Arial Narrow" w:asciiTheme="minorEastAsia" w:hAnsiTheme="minorEastAsia" w:eastAsiaTheme="minorEastAsia"/>
          <w:bCs/>
          <w:sz w:val="24"/>
          <w:szCs w:val="24"/>
        </w:rPr>
        <w:t>（</w:t>
      </w:r>
      <w:r>
        <w:rPr>
          <w:rFonts w:cs="Arial Narrow" w:asciiTheme="minorEastAsia" w:hAnsiTheme="minorEastAsia" w:eastAsiaTheme="minorEastAsia"/>
          <w:bCs/>
          <w:sz w:val="24"/>
          <w:szCs w:val="24"/>
        </w:rPr>
        <w:t>3</w:t>
      </w:r>
      <w:r>
        <w:rPr>
          <w:rFonts w:hint="eastAsia" w:cs="Arial Narrow" w:asciiTheme="minorEastAsia" w:hAnsiTheme="minorEastAsia" w:eastAsiaTheme="minorEastAsia"/>
          <w:bCs/>
          <w:sz w:val="24"/>
          <w:szCs w:val="24"/>
        </w:rPr>
        <w:t>）收益期的确定</w:t>
      </w:r>
    </w:p>
    <w:p w14:paraId="7EDCC7D2">
      <w:pPr>
        <w:spacing w:line="360" w:lineRule="auto"/>
        <w:ind w:firstLine="566" w:firstLineChars="236"/>
        <w:rPr>
          <w:rFonts w:hint="eastAsia" w:cs="Arial Narrow" w:asciiTheme="minorEastAsia" w:hAnsiTheme="minorEastAsia" w:eastAsiaTheme="minorEastAsia"/>
          <w:bCs/>
          <w:sz w:val="24"/>
          <w:szCs w:val="24"/>
        </w:rPr>
      </w:pPr>
      <w:bookmarkStart w:id="84" w:name="_Hlk116555879"/>
      <w:r>
        <w:rPr>
          <w:rFonts w:hint="eastAsia" w:cs="Arial Narrow" w:asciiTheme="minorEastAsia" w:hAnsiTheme="minorEastAsia" w:eastAsiaTheme="minorEastAsia"/>
          <w:bCs/>
          <w:sz w:val="24"/>
          <w:szCs w:val="24"/>
        </w:rPr>
        <w:t>和县飞雁主要从事为公共交通服务业务，评估人员经过对企业未来经营规划、行业发展特点的分析，认为企业未来发展前景良好，从企业价值评估角度分析，被评估企业经营正常，不存在必然终止的条件，因此本次评估收益期按永续确定，即收益期限为持续经营假设前提下的无限经营年期</w:t>
      </w:r>
      <w:bookmarkEnd w:id="84"/>
      <w:r>
        <w:rPr>
          <w:rFonts w:hint="eastAsia" w:cs="Arial Narrow" w:asciiTheme="minorEastAsia" w:hAnsiTheme="minorEastAsia" w:eastAsiaTheme="minorEastAsia"/>
          <w:bCs/>
          <w:sz w:val="24"/>
          <w:szCs w:val="24"/>
        </w:rPr>
        <w:t>。</w:t>
      </w:r>
    </w:p>
    <w:bookmarkEnd w:id="83"/>
    <w:p w14:paraId="76EAB554">
      <w:pPr>
        <w:numPr>
          <w:ilvl w:val="0"/>
          <w:numId w:val="16"/>
        </w:numPr>
        <w:spacing w:before="120" w:beforeLines="50" w:line="360" w:lineRule="auto"/>
        <w:rPr>
          <w:rFonts w:hint="eastAsia" w:cs="Arial Narrow" w:asciiTheme="minorEastAsia" w:hAnsiTheme="minorEastAsia" w:eastAsiaTheme="minorEastAsia"/>
          <w:b/>
          <w:color w:val="000000"/>
          <w:sz w:val="24"/>
          <w:szCs w:val="24"/>
        </w:rPr>
      </w:pPr>
      <w:r>
        <w:rPr>
          <w:rFonts w:hint="eastAsia" w:cs="Arial Narrow" w:asciiTheme="minorEastAsia" w:hAnsiTheme="minorEastAsia" w:eastAsiaTheme="minorEastAsia"/>
          <w:b/>
          <w:color w:val="000000"/>
          <w:sz w:val="24"/>
          <w:szCs w:val="24"/>
        </w:rPr>
        <w:t>资产基础法简介</w:t>
      </w:r>
    </w:p>
    <w:p w14:paraId="253B430A">
      <w:pPr>
        <w:pStyle w:val="4"/>
        <w:snapToGrid w:val="0"/>
        <w:spacing w:line="360" w:lineRule="auto"/>
        <w:ind w:firstLine="480" w:firstLineChars="200"/>
        <w:rPr>
          <w:rFonts w:hint="eastAsia" w:ascii="宋体" w:hAnsi="宋体"/>
          <w:sz w:val="24"/>
          <w:szCs w:val="24"/>
        </w:rPr>
      </w:pPr>
      <w:r>
        <w:rPr>
          <w:rFonts w:hint="eastAsia" w:ascii="宋体" w:hAnsi="宋体"/>
          <w:sz w:val="24"/>
          <w:szCs w:val="24"/>
        </w:rPr>
        <w:t>企业价值评估中的资产基础法，是指以被评估企业评估基准日的资产负债表为基础，合理评估企业各项资产价值和负债的基础上确定评估对象价值的评估方法。各类资产及负债的评估过程说明如下：</w:t>
      </w:r>
    </w:p>
    <w:p w14:paraId="6D87A348">
      <w:pPr>
        <w:pStyle w:val="4"/>
        <w:numPr>
          <w:ilvl w:val="0"/>
          <w:numId w:val="18"/>
        </w:numPr>
        <w:snapToGrid w:val="0"/>
        <w:spacing w:line="360" w:lineRule="auto"/>
        <w:ind w:left="0" w:firstLine="480" w:firstLineChars="200"/>
        <w:rPr>
          <w:rFonts w:hint="eastAsia" w:ascii="宋体" w:hAnsi="宋体"/>
          <w:sz w:val="24"/>
          <w:szCs w:val="24"/>
        </w:rPr>
      </w:pPr>
      <w:r>
        <w:rPr>
          <w:rFonts w:hint="eastAsia" w:ascii="宋体" w:hAnsi="宋体"/>
          <w:sz w:val="24"/>
          <w:szCs w:val="24"/>
        </w:rPr>
        <w:t>流动资产及负债的评估</w:t>
      </w:r>
    </w:p>
    <w:p w14:paraId="078FFA65">
      <w:pPr>
        <w:pStyle w:val="4"/>
        <w:snapToGrid w:val="0"/>
        <w:spacing w:line="360" w:lineRule="auto"/>
        <w:ind w:firstLine="480" w:firstLineChars="200"/>
        <w:rPr>
          <w:rFonts w:hint="eastAsia" w:ascii="宋体" w:hAnsi="宋体"/>
          <w:sz w:val="24"/>
          <w:szCs w:val="24"/>
        </w:rPr>
      </w:pPr>
      <w:r>
        <w:rPr>
          <w:rFonts w:hint="eastAsia" w:ascii="宋体" w:hAnsi="宋体"/>
          <w:sz w:val="24"/>
          <w:szCs w:val="24"/>
        </w:rPr>
        <w:t>被评估单位流动资产为货币资金、应收账款、预付账款和其他应收款；负债包括应付账款、应付职工薪酬、应交税费和其他应付款。</w:t>
      </w:r>
    </w:p>
    <w:p w14:paraId="3985A446">
      <w:pPr>
        <w:pStyle w:val="4"/>
        <w:numPr>
          <w:ilvl w:val="1"/>
          <w:numId w:val="19"/>
        </w:numPr>
        <w:adjustRightInd w:val="0"/>
        <w:snapToGrid w:val="0"/>
        <w:spacing w:before="60" w:after="60" w:line="360" w:lineRule="auto"/>
        <w:ind w:left="0" w:firstLine="480" w:firstLineChars="200"/>
        <w:textAlignment w:val="baseline"/>
        <w:rPr>
          <w:rFonts w:hint="eastAsia" w:ascii="宋体" w:hAnsi="宋体"/>
          <w:sz w:val="24"/>
          <w:szCs w:val="24"/>
        </w:rPr>
      </w:pPr>
      <w:r>
        <w:rPr>
          <w:rFonts w:hint="eastAsia" w:ascii="宋体" w:hAnsi="宋体"/>
          <w:sz w:val="24"/>
          <w:szCs w:val="24"/>
        </w:rPr>
        <w:t>货币资金：包括库存现金、银行存款和其他货币资金，通过现金盘点、核实银行对账单、银行函证、其他货币资金凭证等，以核实后的价值确定评估值。其中外币资金按评估基准日的国家外汇牌价折算为人民币值。</w:t>
      </w:r>
    </w:p>
    <w:p w14:paraId="15B4D353">
      <w:pPr>
        <w:pStyle w:val="4"/>
        <w:numPr>
          <w:ilvl w:val="1"/>
          <w:numId w:val="19"/>
        </w:numPr>
        <w:tabs>
          <w:tab w:val="left" w:pos="284"/>
          <w:tab w:val="left" w:pos="709"/>
          <w:tab w:val="left" w:pos="851"/>
        </w:tabs>
        <w:adjustRightInd w:val="0"/>
        <w:snapToGrid w:val="0"/>
        <w:spacing w:before="60" w:after="60" w:line="360" w:lineRule="auto"/>
        <w:ind w:left="0" w:firstLine="480" w:firstLineChars="200"/>
        <w:textAlignment w:val="baseline"/>
        <w:rPr>
          <w:rFonts w:hint="eastAsia" w:ascii="宋体" w:hAnsi="宋体"/>
          <w:sz w:val="24"/>
          <w:szCs w:val="24"/>
        </w:rPr>
      </w:pPr>
      <w:r>
        <w:rPr>
          <w:rFonts w:hint="eastAsia" w:ascii="宋体" w:hAnsi="宋体"/>
          <w:sz w:val="24"/>
          <w:szCs w:val="24"/>
        </w:rPr>
        <w:t>应收账款和其他应收款：各种应收款项在核实无误的基础上，根据每笔款项可能收回的数额确定评估值。对于有充分理由相信全都能收回的，按全部应收款额计算评估值；对于可能收不回部分款项的，在难以确定收不回账款的数额时，借助于历史资料和现场调查了解的情况，具体分析数额、欠款时间和原因、款项回收情况、欠款人资金、信用、经营管理现状等，参照账龄分析法，估计出这部分可能收不回的款项，作为风险损失扣除后计算评估值；对于有确凿根据表明无法收回的，按零值计算；账面上的“坏账准备”科目按零值计算。</w:t>
      </w:r>
    </w:p>
    <w:p w14:paraId="551BD1E5">
      <w:pPr>
        <w:pStyle w:val="4"/>
        <w:numPr>
          <w:ilvl w:val="1"/>
          <w:numId w:val="19"/>
        </w:numPr>
        <w:tabs>
          <w:tab w:val="left" w:pos="284"/>
          <w:tab w:val="left" w:pos="709"/>
          <w:tab w:val="left" w:pos="851"/>
        </w:tabs>
        <w:adjustRightInd w:val="0"/>
        <w:snapToGrid w:val="0"/>
        <w:spacing w:before="60" w:after="60" w:line="360" w:lineRule="auto"/>
        <w:ind w:left="0" w:firstLine="480" w:firstLineChars="200"/>
        <w:textAlignment w:val="baseline"/>
        <w:rPr>
          <w:rFonts w:hint="eastAsia" w:ascii="宋体" w:hAnsi="宋体"/>
          <w:sz w:val="24"/>
          <w:szCs w:val="24"/>
        </w:rPr>
      </w:pPr>
      <w:r>
        <w:rPr>
          <w:rFonts w:hint="eastAsia" w:ascii="宋体" w:hAnsi="宋体"/>
          <w:sz w:val="24"/>
          <w:szCs w:val="24"/>
        </w:rPr>
        <w:t>预付账款：根据所能收回的相应货物形成资产或权利的价值确定评估值。对于能够收回相应货物的或权利的，按核实后的账面值作为评估值。对于那些有确凿证据表明收不回相应货物，也不能形成相应资产或权益的预付账款，其评估值为零。</w:t>
      </w:r>
    </w:p>
    <w:p w14:paraId="04A35C6B">
      <w:pPr>
        <w:pStyle w:val="4"/>
        <w:numPr>
          <w:ilvl w:val="1"/>
          <w:numId w:val="19"/>
        </w:numPr>
        <w:tabs>
          <w:tab w:val="left" w:pos="284"/>
          <w:tab w:val="left" w:pos="709"/>
          <w:tab w:val="left" w:pos="851"/>
        </w:tabs>
        <w:adjustRightInd w:val="0"/>
        <w:snapToGrid w:val="0"/>
        <w:spacing w:before="60" w:after="60" w:line="360" w:lineRule="auto"/>
        <w:ind w:left="0" w:firstLine="480" w:firstLineChars="200"/>
        <w:textAlignment w:val="baseline"/>
        <w:rPr>
          <w:rFonts w:hint="eastAsia" w:ascii="宋体" w:hAnsi="宋体"/>
          <w:sz w:val="24"/>
          <w:szCs w:val="24"/>
        </w:rPr>
      </w:pPr>
      <w:r>
        <w:rPr>
          <w:rFonts w:hint="eastAsia" w:ascii="宋体" w:hAnsi="宋体"/>
          <w:sz w:val="24"/>
          <w:szCs w:val="24"/>
        </w:rPr>
        <w:t>负债：本次负债评估以审计确认后的账面值列示。</w:t>
      </w:r>
    </w:p>
    <w:p w14:paraId="0A1D1DEF">
      <w:pPr>
        <w:pStyle w:val="4"/>
        <w:snapToGrid w:val="0"/>
        <w:spacing w:line="360" w:lineRule="auto"/>
        <w:ind w:left="-3" w:leftChars="-1" w:firstLine="566" w:firstLineChars="236"/>
        <w:rPr>
          <w:rFonts w:hint="eastAsia" w:ascii="宋体" w:hAnsi="宋体"/>
          <w:sz w:val="24"/>
          <w:szCs w:val="24"/>
        </w:rPr>
      </w:pPr>
      <w:r>
        <w:rPr>
          <w:rFonts w:hint="eastAsia" w:ascii="宋体" w:hAnsi="宋体"/>
          <w:sz w:val="24"/>
          <w:szCs w:val="24"/>
        </w:rPr>
        <w:t>2.非流动资产的评估</w:t>
      </w:r>
    </w:p>
    <w:p w14:paraId="13A91E12">
      <w:pPr>
        <w:pStyle w:val="4"/>
        <w:tabs>
          <w:tab w:val="left" w:pos="284"/>
          <w:tab w:val="left" w:pos="709"/>
          <w:tab w:val="left" w:pos="851"/>
        </w:tabs>
        <w:adjustRightInd w:val="0"/>
        <w:snapToGrid w:val="0"/>
        <w:spacing w:before="60" w:after="60" w:line="360" w:lineRule="auto"/>
        <w:ind w:left="480" w:firstLine="0"/>
        <w:textAlignment w:val="baseline"/>
        <w:rPr>
          <w:rFonts w:hint="eastAsia" w:ascii="宋体" w:hAnsi="宋体"/>
          <w:sz w:val="24"/>
          <w:szCs w:val="24"/>
        </w:rPr>
      </w:pPr>
      <w:r>
        <w:rPr>
          <w:rFonts w:hint="eastAsia" w:ascii="宋体" w:hAnsi="宋体"/>
          <w:sz w:val="24"/>
          <w:szCs w:val="24"/>
        </w:rPr>
        <w:t>（1）固定资产的评估</w:t>
      </w:r>
    </w:p>
    <w:p w14:paraId="59F35767">
      <w:pPr>
        <w:pStyle w:val="4"/>
        <w:tabs>
          <w:tab w:val="left" w:pos="284"/>
          <w:tab w:val="left" w:pos="709"/>
          <w:tab w:val="left" w:pos="851"/>
        </w:tabs>
        <w:adjustRightInd w:val="0"/>
        <w:snapToGrid w:val="0"/>
        <w:spacing w:before="60" w:after="60" w:line="360" w:lineRule="auto"/>
        <w:ind w:firstLine="480" w:firstLineChars="200"/>
        <w:textAlignment w:val="baseline"/>
        <w:rPr>
          <w:rFonts w:hint="eastAsia" w:ascii="宋体" w:hAnsi="宋体"/>
          <w:sz w:val="24"/>
          <w:szCs w:val="24"/>
        </w:rPr>
      </w:pPr>
      <w:r>
        <w:rPr>
          <w:rFonts w:hint="eastAsia" w:ascii="宋体" w:hAnsi="宋体"/>
          <w:sz w:val="24"/>
          <w:szCs w:val="24"/>
        </w:rPr>
        <w:t>纳入本次评估范围的固定资产为车辆和电子设备。</w:t>
      </w:r>
    </w:p>
    <w:p w14:paraId="77EC767F">
      <w:pPr>
        <w:pStyle w:val="4"/>
        <w:numPr>
          <w:ilvl w:val="2"/>
          <w:numId w:val="12"/>
        </w:numPr>
        <w:tabs>
          <w:tab w:val="left" w:pos="284"/>
          <w:tab w:val="left" w:pos="709"/>
          <w:tab w:val="left" w:pos="851"/>
        </w:tabs>
        <w:adjustRightInd w:val="0"/>
        <w:snapToGrid w:val="0"/>
        <w:spacing w:before="60" w:after="60" w:line="360" w:lineRule="auto"/>
        <w:ind w:left="0" w:firstLine="567"/>
        <w:textAlignment w:val="baseline"/>
        <w:rPr>
          <w:rFonts w:hint="eastAsia" w:ascii="宋体" w:hAnsi="宋体"/>
          <w:sz w:val="24"/>
          <w:szCs w:val="24"/>
        </w:rPr>
      </w:pPr>
      <w:r>
        <w:rPr>
          <w:rFonts w:hint="eastAsia" w:ascii="宋体" w:hAnsi="宋体"/>
          <w:sz w:val="24"/>
          <w:szCs w:val="24"/>
        </w:rPr>
        <w:t>车辆、电子设备评估</w:t>
      </w:r>
    </w:p>
    <w:p w14:paraId="458ADA0D">
      <w:pPr>
        <w:pStyle w:val="4"/>
        <w:tabs>
          <w:tab w:val="left" w:pos="284"/>
          <w:tab w:val="left" w:pos="709"/>
          <w:tab w:val="left" w:pos="851"/>
        </w:tabs>
        <w:adjustRightInd w:val="0"/>
        <w:snapToGrid w:val="0"/>
        <w:spacing w:before="60" w:after="60" w:line="360" w:lineRule="auto"/>
        <w:ind w:left="420" w:firstLine="6"/>
        <w:textAlignment w:val="baseline"/>
        <w:rPr>
          <w:rFonts w:hint="eastAsia" w:ascii="宋体" w:hAnsi="宋体"/>
          <w:sz w:val="24"/>
          <w:szCs w:val="24"/>
        </w:rPr>
      </w:pPr>
      <w:r>
        <w:rPr>
          <w:rFonts w:hint="eastAsia" w:ascii="宋体" w:hAnsi="宋体"/>
          <w:sz w:val="24"/>
          <w:szCs w:val="24"/>
        </w:rPr>
        <w:t>对车辆、机器设备主要采用成本法进行评估。</w:t>
      </w:r>
    </w:p>
    <w:p w14:paraId="7ADBFE8F">
      <w:pPr>
        <w:pStyle w:val="4"/>
        <w:tabs>
          <w:tab w:val="left" w:pos="284"/>
          <w:tab w:val="left" w:pos="709"/>
          <w:tab w:val="left" w:pos="851"/>
        </w:tabs>
        <w:adjustRightInd w:val="0"/>
        <w:snapToGrid w:val="0"/>
        <w:spacing w:before="60" w:after="60" w:line="360" w:lineRule="auto"/>
        <w:ind w:left="420" w:firstLine="6"/>
        <w:textAlignment w:val="baseline"/>
        <w:rPr>
          <w:rFonts w:hint="eastAsia" w:ascii="宋体" w:hAnsi="宋体"/>
          <w:sz w:val="24"/>
          <w:szCs w:val="24"/>
        </w:rPr>
      </w:pPr>
      <w:r>
        <w:rPr>
          <w:rFonts w:hint="eastAsia" w:ascii="宋体" w:hAnsi="宋体"/>
          <w:sz w:val="24"/>
          <w:szCs w:val="24"/>
        </w:rPr>
        <w:t>评估值=重置全价×综合成新率</w:t>
      </w:r>
    </w:p>
    <w:p w14:paraId="64C1ABFC">
      <w:pPr>
        <w:pStyle w:val="4"/>
        <w:tabs>
          <w:tab w:val="left" w:pos="284"/>
          <w:tab w:val="left" w:pos="709"/>
          <w:tab w:val="left" w:pos="851"/>
        </w:tabs>
        <w:adjustRightInd w:val="0"/>
        <w:snapToGrid w:val="0"/>
        <w:spacing w:before="60" w:after="60" w:line="360" w:lineRule="auto"/>
        <w:ind w:left="420" w:firstLine="6"/>
        <w:textAlignment w:val="baseline"/>
        <w:rPr>
          <w:rFonts w:hint="eastAsia" w:ascii="宋体" w:hAnsi="宋体"/>
          <w:sz w:val="24"/>
          <w:szCs w:val="24"/>
        </w:rPr>
      </w:pPr>
      <w:r>
        <w:rPr>
          <w:rFonts w:hint="eastAsia" w:ascii="宋体" w:hAnsi="宋体"/>
          <w:sz w:val="24"/>
          <w:szCs w:val="24"/>
        </w:rPr>
        <w:t>①</w:t>
      </w:r>
      <w:r>
        <w:rPr>
          <w:rFonts w:hint="eastAsia" w:ascii="宋体" w:hAnsi="宋体"/>
          <w:sz w:val="24"/>
          <w:szCs w:val="24"/>
        </w:rPr>
        <w:tab/>
      </w:r>
      <w:r>
        <w:rPr>
          <w:rFonts w:hint="eastAsia" w:ascii="宋体" w:hAnsi="宋体"/>
          <w:sz w:val="24"/>
          <w:szCs w:val="24"/>
        </w:rPr>
        <w:t>机器设备重置全价的确定</w:t>
      </w:r>
    </w:p>
    <w:p w14:paraId="74EFBC15">
      <w:pPr>
        <w:pStyle w:val="4"/>
        <w:tabs>
          <w:tab w:val="left" w:pos="284"/>
          <w:tab w:val="left" w:pos="709"/>
          <w:tab w:val="left" w:pos="851"/>
        </w:tabs>
        <w:adjustRightInd w:val="0"/>
        <w:snapToGrid w:val="0"/>
        <w:spacing w:before="60" w:after="60" w:line="360" w:lineRule="auto"/>
        <w:ind w:firstLine="426"/>
        <w:textAlignment w:val="baseline"/>
        <w:rPr>
          <w:rFonts w:hint="eastAsia" w:ascii="宋体" w:hAnsi="宋体"/>
          <w:sz w:val="24"/>
          <w:szCs w:val="24"/>
        </w:rPr>
      </w:pPr>
      <w:r>
        <w:rPr>
          <w:rFonts w:hint="eastAsia" w:ascii="宋体" w:hAnsi="宋体"/>
          <w:sz w:val="24"/>
          <w:szCs w:val="24"/>
        </w:rPr>
        <w:t>本次评估采用含税价，通过对同类设备厂家及商家进行电话或网络咨询目前同类设备的市场销售价，然后根据具体设备合理考虑是否包括安装费用后确定重置全价。</w:t>
      </w:r>
    </w:p>
    <w:p w14:paraId="2C0F7428">
      <w:pPr>
        <w:pStyle w:val="4"/>
        <w:numPr>
          <w:ilvl w:val="1"/>
          <w:numId w:val="12"/>
        </w:numPr>
        <w:tabs>
          <w:tab w:val="left" w:pos="284"/>
          <w:tab w:val="left" w:pos="709"/>
          <w:tab w:val="left" w:pos="851"/>
        </w:tabs>
        <w:adjustRightInd w:val="0"/>
        <w:snapToGrid w:val="0"/>
        <w:spacing w:before="60" w:after="60" w:line="360" w:lineRule="auto"/>
        <w:textAlignment w:val="baseline"/>
        <w:rPr>
          <w:rFonts w:hint="eastAsia" w:ascii="宋体" w:hAnsi="宋体"/>
          <w:sz w:val="24"/>
          <w:szCs w:val="24"/>
        </w:rPr>
      </w:pPr>
      <w:r>
        <w:rPr>
          <w:rFonts w:hint="eastAsia" w:ascii="宋体" w:hAnsi="宋体"/>
          <w:sz w:val="24"/>
          <w:szCs w:val="24"/>
        </w:rPr>
        <w:t>综合成新率的确定</w:t>
      </w:r>
    </w:p>
    <w:p w14:paraId="042B2327">
      <w:pPr>
        <w:pStyle w:val="4"/>
        <w:tabs>
          <w:tab w:val="left" w:pos="284"/>
          <w:tab w:val="left" w:pos="709"/>
          <w:tab w:val="left" w:pos="851"/>
        </w:tabs>
        <w:adjustRightInd w:val="0"/>
        <w:snapToGrid w:val="0"/>
        <w:spacing w:before="60" w:after="60" w:line="360" w:lineRule="auto"/>
        <w:ind w:firstLine="424" w:firstLineChars="177"/>
        <w:textAlignment w:val="baseline"/>
        <w:rPr>
          <w:rFonts w:hint="eastAsia" w:ascii="宋体" w:hAnsi="宋体"/>
          <w:sz w:val="24"/>
          <w:szCs w:val="24"/>
        </w:rPr>
      </w:pPr>
      <w:r>
        <w:rPr>
          <w:rFonts w:hint="eastAsia" w:ascii="宋体" w:hAnsi="宋体"/>
          <w:sz w:val="24"/>
          <w:szCs w:val="24"/>
        </w:rPr>
        <w:t>对于车辆的成新率，由于车辆的报废期限同时受到使用年限和行驶里程的限制，本次评估采了年限成新率与行驶里程成新率孰低原则，再乘以一定的变现率作为综合成新率，其计算公式为：</w:t>
      </w:r>
    </w:p>
    <w:p w14:paraId="16B52DB0">
      <w:pPr>
        <w:pStyle w:val="4"/>
        <w:tabs>
          <w:tab w:val="left" w:pos="284"/>
          <w:tab w:val="left" w:pos="709"/>
          <w:tab w:val="left" w:pos="851"/>
        </w:tabs>
        <w:adjustRightInd w:val="0"/>
        <w:snapToGrid w:val="0"/>
        <w:spacing w:before="60" w:after="60" w:line="360" w:lineRule="auto"/>
        <w:ind w:left="420" w:firstLine="6"/>
        <w:textAlignment w:val="baseline"/>
        <w:rPr>
          <w:rFonts w:hint="eastAsia" w:ascii="宋体" w:hAnsi="宋体"/>
          <w:sz w:val="24"/>
          <w:szCs w:val="24"/>
        </w:rPr>
      </w:pPr>
      <w:r>
        <w:rPr>
          <w:rFonts w:hint="eastAsia" w:ascii="宋体" w:hAnsi="宋体"/>
          <w:sz w:val="24"/>
          <w:szCs w:val="24"/>
        </w:rPr>
        <w:t>车辆综合成新率=年限成新率与行驶里程成新率较低者×80%</w:t>
      </w:r>
    </w:p>
    <w:p w14:paraId="67E7E630">
      <w:pPr>
        <w:pStyle w:val="4"/>
        <w:tabs>
          <w:tab w:val="left" w:pos="284"/>
          <w:tab w:val="left" w:pos="709"/>
          <w:tab w:val="left" w:pos="851"/>
        </w:tabs>
        <w:adjustRightInd w:val="0"/>
        <w:snapToGrid w:val="0"/>
        <w:spacing w:before="60" w:after="60" w:line="360" w:lineRule="auto"/>
        <w:ind w:firstLine="426"/>
        <w:textAlignment w:val="baseline"/>
        <w:rPr>
          <w:rFonts w:hint="eastAsia" w:ascii="宋体" w:hAnsi="宋体"/>
          <w:sz w:val="24"/>
          <w:szCs w:val="24"/>
        </w:rPr>
      </w:pPr>
      <w:r>
        <w:rPr>
          <w:rFonts w:hint="eastAsia" w:ascii="宋体" w:hAnsi="宋体"/>
          <w:sz w:val="24"/>
          <w:szCs w:val="24"/>
        </w:rPr>
        <w:t>对于电子设备的成新率，在年限成新率测算基础上，评估人员根据现场勘察时了解到的主要设备的工作状态、工作环境，参考设备的日常负荷率、原始制造质量、维修保养等情况，并广泛听取设备实际操作人员、维护人员和管理人员的意见后确定勘察成新率，然后根据年限成新率和勘察成新率确定综合成新率，其计算公式为：</w:t>
      </w:r>
    </w:p>
    <w:p w14:paraId="4676C077">
      <w:pPr>
        <w:pStyle w:val="4"/>
        <w:tabs>
          <w:tab w:val="left" w:pos="284"/>
          <w:tab w:val="left" w:pos="709"/>
          <w:tab w:val="left" w:pos="851"/>
        </w:tabs>
        <w:adjustRightInd w:val="0"/>
        <w:snapToGrid w:val="0"/>
        <w:spacing w:before="60" w:after="60" w:line="360" w:lineRule="auto"/>
        <w:ind w:left="420" w:firstLine="6"/>
        <w:textAlignment w:val="baseline"/>
        <w:rPr>
          <w:rFonts w:ascii="宋体" w:hAnsi="宋体"/>
          <w:sz w:val="24"/>
          <w:szCs w:val="24"/>
        </w:rPr>
      </w:pPr>
      <w:r>
        <w:rPr>
          <w:rFonts w:hint="eastAsia" w:ascii="宋体" w:hAnsi="宋体"/>
          <w:sz w:val="24"/>
          <w:szCs w:val="24"/>
        </w:rPr>
        <w:t>设备综合成新率=勘察成新率×60%＋年限成新率×40%</w:t>
      </w:r>
    </w:p>
    <w:p w14:paraId="61FEEB55">
      <w:pPr>
        <w:pStyle w:val="4"/>
        <w:tabs>
          <w:tab w:val="left" w:pos="284"/>
          <w:tab w:val="left" w:pos="709"/>
          <w:tab w:val="left" w:pos="851"/>
        </w:tabs>
        <w:adjustRightInd w:val="0"/>
        <w:snapToGrid w:val="0"/>
        <w:spacing w:before="60" w:after="60" w:line="360" w:lineRule="auto"/>
        <w:ind w:left="420" w:firstLine="6"/>
        <w:textAlignment w:val="baseline"/>
        <w:rPr>
          <w:rFonts w:ascii="宋体" w:hAnsi="宋体"/>
          <w:sz w:val="24"/>
          <w:szCs w:val="24"/>
        </w:rPr>
      </w:pPr>
      <w:r>
        <w:rPr>
          <w:rFonts w:hint="eastAsia" w:ascii="宋体" w:hAnsi="宋体"/>
          <w:sz w:val="24"/>
          <w:szCs w:val="24"/>
        </w:rPr>
        <w:t>（2）长期待摊费用的评估</w:t>
      </w:r>
    </w:p>
    <w:p w14:paraId="3F467FB8">
      <w:pPr>
        <w:pStyle w:val="4"/>
        <w:tabs>
          <w:tab w:val="left" w:pos="284"/>
          <w:tab w:val="left" w:pos="709"/>
          <w:tab w:val="left" w:pos="851"/>
        </w:tabs>
        <w:adjustRightInd w:val="0"/>
        <w:snapToGrid w:val="0"/>
        <w:spacing w:before="60" w:after="60" w:line="360" w:lineRule="auto"/>
        <w:ind w:firstLine="426"/>
        <w:textAlignment w:val="baseline"/>
        <w:rPr>
          <w:rFonts w:hint="eastAsia" w:ascii="宋体" w:hAnsi="宋体"/>
          <w:sz w:val="24"/>
          <w:szCs w:val="24"/>
        </w:rPr>
      </w:pPr>
      <w:r>
        <w:rPr>
          <w:rFonts w:hint="eastAsia" w:ascii="宋体" w:hAnsi="宋体"/>
          <w:sz w:val="24"/>
          <w:szCs w:val="24"/>
        </w:rPr>
        <w:t>本次评估的长期待摊费用为2018年至2024年间和县飞雁收回私人经营车辆成本，根据车辆运营时间计算，按96个月受益期进行摊销，由于和县飞雁与和县交通运输局签订的特许经营协议已经到期，截止评估基准日尚未续签，因此剩余受益期存在一定不确定性，本次评估按50%计算。</w:t>
      </w:r>
    </w:p>
    <w:p w14:paraId="2873906B">
      <w:pPr>
        <w:pStyle w:val="3"/>
        <w:numPr>
          <w:ilvl w:val="0"/>
          <w:numId w:val="5"/>
        </w:numPr>
        <w:tabs>
          <w:tab w:val="left" w:pos="1134"/>
          <w:tab w:val="left" w:pos="1276"/>
          <w:tab w:val="left" w:pos="1725"/>
        </w:tabs>
        <w:spacing w:before="240" w:after="0" w:line="360" w:lineRule="auto"/>
        <w:ind w:left="0" w:firstLine="562" w:firstLineChars="200"/>
        <w:rPr>
          <w:rFonts w:ascii="Arial Narrow" w:hAnsi="Arial Narrow" w:cs="Arial Narrow"/>
          <w:sz w:val="28"/>
          <w:szCs w:val="28"/>
        </w:rPr>
      </w:pPr>
      <w:bookmarkStart w:id="85" w:name="_Toc433891588"/>
      <w:bookmarkStart w:id="86" w:name="_Toc508451372"/>
      <w:bookmarkStart w:id="87" w:name="_Toc16056"/>
      <w:r>
        <w:rPr>
          <w:rFonts w:ascii="Arial Narrow" w:hAnsi="Arial Narrow" w:cs="Arial Narrow"/>
          <w:sz w:val="28"/>
          <w:szCs w:val="28"/>
        </w:rPr>
        <w:t>评估程序实施过程和情况</w:t>
      </w:r>
      <w:bookmarkEnd w:id="85"/>
      <w:bookmarkEnd w:id="86"/>
      <w:bookmarkEnd w:id="87"/>
    </w:p>
    <w:p w14:paraId="74780FF1">
      <w:pPr>
        <w:spacing w:line="360" w:lineRule="auto"/>
        <w:ind w:firstLine="480" w:firstLineChars="200"/>
        <w:rPr>
          <w:rFonts w:ascii="Arial Narrow" w:hAnsi="Arial Narrow" w:cs="Arial Narrow"/>
          <w:sz w:val="24"/>
          <w:szCs w:val="24"/>
        </w:rPr>
      </w:pPr>
      <w:r>
        <w:rPr>
          <w:rFonts w:ascii="Arial Narrow" w:hAnsi="Arial Narrow" w:cs="Arial Narrow"/>
          <w:sz w:val="24"/>
          <w:szCs w:val="24"/>
        </w:rPr>
        <w:t>根据法律、法规和</w:t>
      </w:r>
      <w:r>
        <w:rPr>
          <w:rFonts w:hint="eastAsia" w:ascii="Arial Narrow" w:hAnsi="Arial Narrow" w:cs="Arial Narrow"/>
          <w:sz w:val="24"/>
          <w:szCs w:val="24"/>
        </w:rPr>
        <w:t>资产评估执业准则</w:t>
      </w:r>
      <w:r>
        <w:rPr>
          <w:rFonts w:ascii="Arial Narrow" w:hAnsi="Arial Narrow" w:cs="Arial Narrow"/>
          <w:sz w:val="24"/>
          <w:szCs w:val="24"/>
        </w:rPr>
        <w:t>的相关规定，本次评估履行了适当的评估程序。具体实施过程如下：</w:t>
      </w:r>
    </w:p>
    <w:p w14:paraId="3D087DCC">
      <w:pPr>
        <w:pStyle w:val="5"/>
        <w:numPr>
          <w:ilvl w:val="0"/>
          <w:numId w:val="20"/>
        </w:numPr>
        <w:tabs>
          <w:tab w:val="clear" w:pos="1080"/>
        </w:tabs>
        <w:spacing w:before="120" w:beforeLines="50" w:after="0" w:line="360" w:lineRule="auto"/>
        <w:ind w:left="0" w:firstLine="482" w:firstLineChars="200"/>
        <w:rPr>
          <w:rFonts w:hint="eastAsia" w:cs="Arial Narrow" w:asciiTheme="minorEastAsia" w:hAnsiTheme="minorEastAsia" w:eastAsiaTheme="minorEastAsia"/>
          <w:sz w:val="24"/>
          <w:szCs w:val="24"/>
        </w:rPr>
      </w:pPr>
      <w:bookmarkStart w:id="88" w:name="_Toc433891589"/>
      <w:bookmarkStart w:id="89" w:name="_Toc372060785"/>
      <w:r>
        <w:rPr>
          <w:rFonts w:cs="Arial Narrow" w:asciiTheme="minorEastAsia" w:hAnsiTheme="minorEastAsia" w:eastAsiaTheme="minorEastAsia"/>
          <w:sz w:val="24"/>
          <w:szCs w:val="24"/>
        </w:rPr>
        <w:t>明确评估业务基本事项</w:t>
      </w:r>
      <w:bookmarkEnd w:id="88"/>
      <w:bookmarkEnd w:id="89"/>
    </w:p>
    <w:p w14:paraId="09CECEA8">
      <w:pPr>
        <w:spacing w:line="360" w:lineRule="auto"/>
        <w:ind w:firstLine="480" w:firstLineChars="200"/>
        <w:rPr>
          <w:rFonts w:ascii="Arial Narrow" w:hAnsi="Arial Narrow" w:cs="Arial Narrow"/>
          <w:sz w:val="24"/>
          <w:szCs w:val="24"/>
        </w:rPr>
      </w:pPr>
      <w:r>
        <w:rPr>
          <w:rFonts w:hint="eastAsia" w:ascii="Arial Narrow" w:hAnsi="Arial Narrow" w:cs="Arial Narrow"/>
          <w:sz w:val="24"/>
          <w:szCs w:val="24"/>
        </w:rPr>
        <w:t>受理资产评估业务前，</w:t>
      </w:r>
      <w:r>
        <w:rPr>
          <w:rFonts w:ascii="Arial Narrow" w:hAnsi="Arial Narrow" w:cs="Arial Narrow"/>
          <w:sz w:val="24"/>
          <w:szCs w:val="24"/>
        </w:rPr>
        <w:t>与</w:t>
      </w:r>
      <w:r>
        <w:rPr>
          <w:rFonts w:hint="eastAsia" w:ascii="Arial Narrow" w:hAnsi="Arial Narrow" w:cs="Arial Narrow"/>
          <w:sz w:val="24"/>
          <w:szCs w:val="24"/>
        </w:rPr>
        <w:t>委托人</w:t>
      </w:r>
      <w:r>
        <w:rPr>
          <w:rFonts w:ascii="Arial Narrow" w:hAnsi="Arial Narrow" w:cs="Arial Narrow"/>
          <w:sz w:val="24"/>
          <w:szCs w:val="24"/>
        </w:rPr>
        <w:t>就</w:t>
      </w:r>
      <w:r>
        <w:rPr>
          <w:rFonts w:hint="eastAsia" w:ascii="Arial Narrow" w:hAnsi="Arial Narrow" w:cs="Arial Narrow"/>
          <w:sz w:val="24"/>
          <w:szCs w:val="24"/>
        </w:rPr>
        <w:t>产权持有人</w:t>
      </w:r>
      <w:r>
        <w:rPr>
          <w:rFonts w:ascii="Arial Narrow" w:hAnsi="Arial Narrow" w:cs="Arial Narrow"/>
          <w:sz w:val="24"/>
          <w:szCs w:val="24"/>
        </w:rPr>
        <w:t>和</w:t>
      </w:r>
      <w:r>
        <w:rPr>
          <w:rFonts w:hint="eastAsia" w:ascii="Arial Narrow" w:hAnsi="Arial Narrow" w:cs="Arial Narrow"/>
          <w:sz w:val="24"/>
          <w:szCs w:val="24"/>
        </w:rPr>
        <w:t>委托人</w:t>
      </w:r>
      <w:r>
        <w:rPr>
          <w:rFonts w:ascii="Arial Narrow" w:hAnsi="Arial Narrow" w:cs="Arial Narrow"/>
          <w:sz w:val="24"/>
          <w:szCs w:val="24"/>
        </w:rPr>
        <w:t>以外的其他评估报告使用</w:t>
      </w:r>
      <w:r>
        <w:rPr>
          <w:rFonts w:hint="eastAsia" w:ascii="Arial Narrow" w:hAnsi="Arial Narrow" w:cs="Arial Narrow"/>
          <w:sz w:val="24"/>
          <w:szCs w:val="24"/>
        </w:rPr>
        <w:t>人</w:t>
      </w:r>
      <w:r>
        <w:rPr>
          <w:rFonts w:ascii="Arial Narrow" w:hAnsi="Arial Narrow" w:cs="Arial Narrow"/>
          <w:sz w:val="24"/>
          <w:szCs w:val="24"/>
        </w:rPr>
        <w:t>、评估目的、评估对象</w:t>
      </w:r>
      <w:r>
        <w:rPr>
          <w:rFonts w:hint="eastAsia" w:ascii="Arial Narrow" w:hAnsi="Arial Narrow" w:cs="Arial Narrow"/>
          <w:sz w:val="24"/>
          <w:szCs w:val="24"/>
        </w:rPr>
        <w:t>和</w:t>
      </w:r>
      <w:r>
        <w:rPr>
          <w:rFonts w:ascii="Arial Narrow" w:hAnsi="Arial Narrow" w:cs="Arial Narrow"/>
          <w:sz w:val="24"/>
          <w:szCs w:val="24"/>
        </w:rPr>
        <w:t>评估范围、价值类型、评估基准日、</w:t>
      </w:r>
      <w:r>
        <w:rPr>
          <w:rFonts w:hint="eastAsia" w:ascii="Arial Narrow" w:hAnsi="Arial Narrow" w:cs="Arial Narrow"/>
          <w:sz w:val="24"/>
          <w:szCs w:val="24"/>
        </w:rPr>
        <w:t>资产评估报告使用范围、资产</w:t>
      </w:r>
      <w:r>
        <w:rPr>
          <w:rFonts w:ascii="Arial Narrow" w:hAnsi="Arial Narrow" w:cs="Arial Narrow"/>
          <w:sz w:val="24"/>
          <w:szCs w:val="24"/>
        </w:rPr>
        <w:t>评估报告使用限制、</w:t>
      </w:r>
      <w:r>
        <w:rPr>
          <w:rFonts w:hint="eastAsia" w:ascii="Arial Narrow" w:hAnsi="Arial Narrow" w:cs="Arial Narrow"/>
          <w:sz w:val="24"/>
          <w:szCs w:val="24"/>
        </w:rPr>
        <w:t>资产评估报告提交期限及方式</w:t>
      </w:r>
      <w:r>
        <w:rPr>
          <w:rFonts w:ascii="Arial Narrow" w:hAnsi="Arial Narrow" w:cs="Arial Narrow"/>
          <w:sz w:val="24"/>
          <w:szCs w:val="24"/>
        </w:rPr>
        <w:t>、</w:t>
      </w:r>
      <w:r>
        <w:rPr>
          <w:rFonts w:hint="eastAsia" w:ascii="Arial Narrow" w:hAnsi="Arial Narrow" w:cs="Arial Narrow"/>
          <w:sz w:val="24"/>
          <w:szCs w:val="24"/>
        </w:rPr>
        <w:t>评估服务费及支付方式</w:t>
      </w:r>
      <w:r>
        <w:rPr>
          <w:rFonts w:ascii="Arial Narrow" w:hAnsi="Arial Narrow" w:cs="Arial Narrow"/>
          <w:sz w:val="24"/>
          <w:szCs w:val="24"/>
        </w:rPr>
        <w:t>等重要事项进行商讨，予以明确。</w:t>
      </w:r>
    </w:p>
    <w:p w14:paraId="5DDACAD0">
      <w:pPr>
        <w:pStyle w:val="5"/>
        <w:numPr>
          <w:ilvl w:val="0"/>
          <w:numId w:val="20"/>
        </w:numPr>
        <w:tabs>
          <w:tab w:val="clear" w:pos="1080"/>
        </w:tabs>
        <w:spacing w:before="120" w:beforeLines="50" w:after="0" w:line="360" w:lineRule="auto"/>
        <w:ind w:left="0" w:firstLine="482" w:firstLineChars="200"/>
        <w:rPr>
          <w:rFonts w:hint="eastAsia" w:cs="Arial Narrow" w:asciiTheme="minorEastAsia" w:hAnsiTheme="minorEastAsia" w:eastAsiaTheme="minorEastAsia"/>
          <w:sz w:val="24"/>
          <w:szCs w:val="24"/>
        </w:rPr>
      </w:pPr>
      <w:r>
        <w:rPr>
          <w:rFonts w:hint="eastAsia" w:cs="Arial Narrow" w:asciiTheme="minorEastAsia" w:hAnsiTheme="minorEastAsia" w:eastAsiaTheme="minorEastAsia"/>
          <w:sz w:val="24"/>
          <w:szCs w:val="24"/>
        </w:rPr>
        <w:t>订立业务委托合同</w:t>
      </w:r>
    </w:p>
    <w:p w14:paraId="2DA367DA">
      <w:pPr>
        <w:spacing w:line="360" w:lineRule="auto"/>
        <w:ind w:firstLine="480" w:firstLineChars="200"/>
        <w:rPr>
          <w:rFonts w:ascii="Arial Narrow" w:hAnsi="Arial Narrow" w:cs="Arial Narrow"/>
          <w:sz w:val="24"/>
          <w:szCs w:val="24"/>
        </w:rPr>
      </w:pPr>
      <w:r>
        <w:rPr>
          <w:rFonts w:ascii="Arial Narrow" w:hAnsi="Arial Narrow" w:cs="Arial Narrow"/>
          <w:sz w:val="24"/>
          <w:szCs w:val="24"/>
        </w:rPr>
        <w:t>根据评估业务具体情况，对自身专业能力、独立性和业务风险进行综合分析和评价后，与</w:t>
      </w:r>
      <w:r>
        <w:rPr>
          <w:rFonts w:hint="eastAsia" w:ascii="Arial Narrow" w:hAnsi="Arial Narrow" w:cs="Arial Narrow"/>
          <w:sz w:val="24"/>
          <w:szCs w:val="24"/>
        </w:rPr>
        <w:t>委托人</w:t>
      </w:r>
      <w:r>
        <w:rPr>
          <w:rFonts w:ascii="Arial Narrow" w:hAnsi="Arial Narrow" w:cs="Arial Narrow"/>
          <w:sz w:val="24"/>
          <w:szCs w:val="24"/>
        </w:rPr>
        <w:t>签订</w:t>
      </w:r>
      <w:r>
        <w:rPr>
          <w:rFonts w:hint="eastAsia" w:ascii="Arial Narrow" w:hAnsi="Arial Narrow" w:cs="Arial Narrow"/>
          <w:sz w:val="24"/>
          <w:szCs w:val="24"/>
        </w:rPr>
        <w:t>资产评估委托合同</w:t>
      </w:r>
      <w:r>
        <w:rPr>
          <w:rFonts w:ascii="Arial Narrow" w:hAnsi="Arial Narrow" w:cs="Arial Narrow"/>
          <w:sz w:val="24"/>
          <w:szCs w:val="24"/>
        </w:rPr>
        <w:t>。</w:t>
      </w:r>
    </w:p>
    <w:p w14:paraId="70D3EB50">
      <w:pPr>
        <w:pStyle w:val="5"/>
        <w:numPr>
          <w:ilvl w:val="0"/>
          <w:numId w:val="20"/>
        </w:numPr>
        <w:tabs>
          <w:tab w:val="clear" w:pos="1080"/>
        </w:tabs>
        <w:spacing w:before="120" w:beforeLines="50" w:after="0" w:line="360" w:lineRule="auto"/>
        <w:ind w:left="0" w:firstLine="482" w:firstLineChars="200"/>
        <w:rPr>
          <w:rFonts w:hint="eastAsia" w:cs="Arial Narrow" w:asciiTheme="minorEastAsia" w:hAnsiTheme="minorEastAsia" w:eastAsiaTheme="minorEastAsia"/>
          <w:sz w:val="24"/>
          <w:szCs w:val="24"/>
        </w:rPr>
      </w:pPr>
      <w:bookmarkStart w:id="90" w:name="_Toc433891591"/>
      <w:bookmarkStart w:id="91" w:name="_Toc372060787"/>
      <w:r>
        <w:rPr>
          <w:rFonts w:cs="Arial Narrow" w:asciiTheme="minorEastAsia" w:hAnsiTheme="minorEastAsia" w:eastAsiaTheme="minorEastAsia"/>
          <w:sz w:val="24"/>
          <w:szCs w:val="24"/>
        </w:rPr>
        <w:t>编制</w:t>
      </w:r>
      <w:r>
        <w:rPr>
          <w:rFonts w:hint="eastAsia" w:cs="Arial Narrow" w:asciiTheme="minorEastAsia" w:hAnsiTheme="minorEastAsia" w:eastAsiaTheme="minorEastAsia"/>
          <w:sz w:val="24"/>
          <w:szCs w:val="24"/>
        </w:rPr>
        <w:t>资产</w:t>
      </w:r>
      <w:r>
        <w:rPr>
          <w:rFonts w:cs="Arial Narrow" w:asciiTheme="minorEastAsia" w:hAnsiTheme="minorEastAsia" w:eastAsiaTheme="minorEastAsia"/>
          <w:sz w:val="24"/>
          <w:szCs w:val="24"/>
        </w:rPr>
        <w:t>评估计划</w:t>
      </w:r>
      <w:bookmarkEnd w:id="90"/>
      <w:bookmarkEnd w:id="91"/>
    </w:p>
    <w:p w14:paraId="0CF74318">
      <w:pPr>
        <w:spacing w:line="360" w:lineRule="auto"/>
        <w:ind w:firstLine="480" w:firstLineChars="200"/>
        <w:rPr>
          <w:rFonts w:ascii="Arial Narrow" w:hAnsi="Arial Narrow" w:cs="Arial Narrow"/>
          <w:sz w:val="24"/>
          <w:szCs w:val="24"/>
        </w:rPr>
      </w:pPr>
      <w:r>
        <w:rPr>
          <w:rFonts w:hint="eastAsia" w:ascii="Arial Narrow" w:hAnsi="Arial Narrow" w:cs="Arial Narrow"/>
          <w:sz w:val="24"/>
          <w:szCs w:val="24"/>
        </w:rPr>
        <w:t>根据资产评估业务具体情况编制资产评估计划</w:t>
      </w:r>
      <w:r>
        <w:rPr>
          <w:rFonts w:ascii="Arial Narrow" w:hAnsi="Arial Narrow" w:cs="Arial Narrow"/>
          <w:sz w:val="24"/>
          <w:szCs w:val="24"/>
        </w:rPr>
        <w:t>，包括</w:t>
      </w:r>
      <w:r>
        <w:rPr>
          <w:rFonts w:hint="eastAsia" w:ascii="Arial Narrow" w:hAnsi="Arial Narrow" w:cs="Arial Narrow"/>
          <w:sz w:val="24"/>
          <w:szCs w:val="24"/>
        </w:rPr>
        <w:t>资产评估业务实施的主要过程</w:t>
      </w:r>
      <w:r>
        <w:rPr>
          <w:rFonts w:ascii="Arial Narrow" w:hAnsi="Arial Narrow" w:cs="Arial Narrow"/>
          <w:sz w:val="24"/>
          <w:szCs w:val="24"/>
        </w:rPr>
        <w:t>、时间进度、人员安排</w:t>
      </w:r>
      <w:r>
        <w:rPr>
          <w:rFonts w:hint="eastAsia" w:ascii="Arial Narrow" w:hAnsi="Arial Narrow" w:cs="Arial Narrow"/>
          <w:sz w:val="24"/>
          <w:szCs w:val="24"/>
        </w:rPr>
        <w:t>、</w:t>
      </w:r>
      <w:r>
        <w:rPr>
          <w:rFonts w:ascii="Arial Narrow" w:hAnsi="Arial Narrow" w:cs="Arial Narrow"/>
          <w:sz w:val="24"/>
          <w:szCs w:val="24"/>
        </w:rPr>
        <w:t>技术方案等，报</w:t>
      </w:r>
      <w:r>
        <w:rPr>
          <w:rFonts w:hint="eastAsia" w:ascii="Arial Narrow" w:hAnsi="Arial Narrow" w:cs="Arial Narrow"/>
          <w:sz w:val="24"/>
          <w:szCs w:val="24"/>
        </w:rPr>
        <w:t>本所</w:t>
      </w:r>
      <w:r>
        <w:rPr>
          <w:rFonts w:ascii="Arial Narrow" w:hAnsi="Arial Narrow" w:cs="Arial Narrow"/>
          <w:sz w:val="24"/>
          <w:szCs w:val="24"/>
        </w:rPr>
        <w:t>相关负责人审核、批准。</w:t>
      </w:r>
    </w:p>
    <w:p w14:paraId="04D599E8">
      <w:pPr>
        <w:pStyle w:val="5"/>
        <w:numPr>
          <w:ilvl w:val="0"/>
          <w:numId w:val="20"/>
        </w:numPr>
        <w:tabs>
          <w:tab w:val="clear" w:pos="1080"/>
        </w:tabs>
        <w:spacing w:before="120" w:beforeLines="50" w:after="0" w:line="360" w:lineRule="auto"/>
        <w:ind w:left="0" w:firstLine="482" w:firstLineChars="200"/>
        <w:rPr>
          <w:rFonts w:hint="eastAsia" w:cs="Arial Narrow" w:asciiTheme="minorEastAsia" w:hAnsiTheme="minorEastAsia" w:eastAsiaTheme="minorEastAsia"/>
          <w:sz w:val="24"/>
          <w:szCs w:val="24"/>
        </w:rPr>
      </w:pPr>
      <w:bookmarkStart w:id="92" w:name="_Toc372060788"/>
      <w:bookmarkStart w:id="93" w:name="_Toc433891592"/>
      <w:r>
        <w:rPr>
          <w:rFonts w:cs="Arial Narrow" w:asciiTheme="minorEastAsia" w:hAnsiTheme="minorEastAsia" w:eastAsiaTheme="minorEastAsia"/>
          <w:sz w:val="24"/>
          <w:szCs w:val="24"/>
        </w:rPr>
        <w:t>现场调查</w:t>
      </w:r>
      <w:bookmarkEnd w:id="92"/>
      <w:bookmarkEnd w:id="93"/>
    </w:p>
    <w:p w14:paraId="117E16E0">
      <w:pPr>
        <w:spacing w:line="360" w:lineRule="auto"/>
        <w:ind w:firstLine="480" w:firstLineChars="200"/>
        <w:rPr>
          <w:rFonts w:ascii="Arial Narrow" w:hAnsi="Arial Narrow" w:cs="Arial Narrow"/>
          <w:sz w:val="24"/>
          <w:szCs w:val="24"/>
        </w:rPr>
      </w:pPr>
      <w:r>
        <w:rPr>
          <w:rFonts w:ascii="Arial Narrow" w:hAnsi="Arial Narrow" w:cs="Arial Narrow"/>
          <w:sz w:val="24"/>
          <w:szCs w:val="24"/>
        </w:rPr>
        <w:t>通过</w:t>
      </w:r>
      <w:r>
        <w:rPr>
          <w:rFonts w:hint="eastAsia" w:ascii="Arial Narrow" w:hAnsi="Arial Narrow" w:cs="Arial Narrow"/>
          <w:sz w:val="24"/>
          <w:szCs w:val="24"/>
        </w:rPr>
        <w:t>询问、访谈、核对、监盘、勘查</w:t>
      </w:r>
      <w:r>
        <w:rPr>
          <w:rFonts w:ascii="Arial Narrow" w:hAnsi="Arial Narrow" w:cs="Arial Narrow"/>
          <w:sz w:val="24"/>
          <w:szCs w:val="24"/>
        </w:rPr>
        <w:t>等方式进行调查，</w:t>
      </w:r>
      <w:r>
        <w:rPr>
          <w:rFonts w:hint="eastAsia" w:ascii="Arial Narrow" w:hAnsi="Arial Narrow" w:cs="Arial Narrow"/>
          <w:sz w:val="24"/>
          <w:szCs w:val="24"/>
        </w:rPr>
        <w:t>获取评估业务需要的资料，了解评估对象现状，关注评估对象法律权属。</w:t>
      </w:r>
      <w:r>
        <w:rPr>
          <w:rFonts w:ascii="Arial Narrow" w:hAnsi="Arial Narrow" w:cs="Arial Narrow"/>
          <w:sz w:val="24"/>
          <w:szCs w:val="24"/>
        </w:rPr>
        <w:t>对不宜进行逐项调查的，根据重要程度采用抽样等方式进行调查。</w:t>
      </w:r>
    </w:p>
    <w:p w14:paraId="2D404EB1">
      <w:pPr>
        <w:pStyle w:val="5"/>
        <w:numPr>
          <w:ilvl w:val="0"/>
          <w:numId w:val="20"/>
        </w:numPr>
        <w:tabs>
          <w:tab w:val="clear" w:pos="1080"/>
        </w:tabs>
        <w:spacing w:before="120" w:beforeLines="50" w:after="0" w:line="360" w:lineRule="auto"/>
        <w:ind w:left="0" w:firstLine="482" w:firstLineChars="200"/>
        <w:rPr>
          <w:rFonts w:hint="eastAsia" w:cs="Arial Narrow" w:asciiTheme="minorEastAsia" w:hAnsiTheme="minorEastAsia" w:eastAsiaTheme="minorEastAsia"/>
          <w:sz w:val="24"/>
          <w:szCs w:val="24"/>
        </w:rPr>
      </w:pPr>
      <w:bookmarkStart w:id="94" w:name="_Toc433891593"/>
      <w:bookmarkStart w:id="95" w:name="_Toc372060789"/>
      <w:r>
        <w:rPr>
          <w:rFonts w:cs="Arial Narrow" w:asciiTheme="minorEastAsia" w:hAnsiTheme="minorEastAsia" w:eastAsiaTheme="minorEastAsia"/>
          <w:sz w:val="24"/>
          <w:szCs w:val="24"/>
        </w:rPr>
        <w:t>收集</w:t>
      </w:r>
      <w:r>
        <w:rPr>
          <w:rFonts w:hint="eastAsia" w:cs="Arial Narrow" w:asciiTheme="minorEastAsia" w:hAnsiTheme="minorEastAsia" w:eastAsiaTheme="minorEastAsia"/>
          <w:sz w:val="24"/>
          <w:szCs w:val="24"/>
        </w:rPr>
        <w:t>整理</w:t>
      </w:r>
      <w:r>
        <w:rPr>
          <w:rFonts w:cs="Arial Narrow" w:asciiTheme="minorEastAsia" w:hAnsiTheme="minorEastAsia" w:eastAsiaTheme="minorEastAsia"/>
          <w:sz w:val="24"/>
          <w:szCs w:val="24"/>
        </w:rPr>
        <w:t>评估资料</w:t>
      </w:r>
      <w:bookmarkEnd w:id="94"/>
      <w:bookmarkEnd w:id="95"/>
    </w:p>
    <w:p w14:paraId="1717A270">
      <w:pPr>
        <w:numPr>
          <w:ilvl w:val="0"/>
          <w:numId w:val="21"/>
        </w:numPr>
        <w:spacing w:line="360" w:lineRule="auto"/>
        <w:ind w:left="0" w:firstLine="480" w:firstLineChars="200"/>
        <w:rPr>
          <w:rFonts w:ascii="Arial Narrow" w:hAnsi="Arial Narrow" w:cs="Arial Narrow"/>
          <w:sz w:val="24"/>
          <w:szCs w:val="24"/>
        </w:rPr>
      </w:pPr>
      <w:r>
        <w:rPr>
          <w:rFonts w:hint="eastAsia" w:ascii="Arial Narrow" w:hAnsi="Arial Narrow" w:cs="Arial Narrow"/>
          <w:sz w:val="24"/>
          <w:szCs w:val="24"/>
        </w:rPr>
        <w:t>根据资产评估业务具体情况收集资产评估业务需要的资料。包括：</w:t>
      </w:r>
      <w:r>
        <w:rPr>
          <w:rFonts w:ascii="Arial Narrow" w:hAnsi="Arial Narrow" w:cs="Arial Narrow"/>
          <w:sz w:val="24"/>
          <w:szCs w:val="24"/>
        </w:rPr>
        <w:t>从</w:t>
      </w:r>
      <w:r>
        <w:rPr>
          <w:rFonts w:hint="eastAsia" w:ascii="Arial Narrow" w:hAnsi="Arial Narrow" w:cs="Arial Narrow"/>
          <w:sz w:val="24"/>
          <w:szCs w:val="24"/>
        </w:rPr>
        <w:t>委托人或者其他相关当事人提供的涉及评估对象和评估范围等资料；</w:t>
      </w:r>
      <w:r>
        <w:rPr>
          <w:rFonts w:ascii="Arial Narrow" w:hAnsi="Arial Narrow" w:cs="Arial Narrow"/>
          <w:sz w:val="24"/>
          <w:szCs w:val="24"/>
        </w:rPr>
        <w:t>从政府部门、各类专业机构</w:t>
      </w:r>
      <w:r>
        <w:rPr>
          <w:rFonts w:hint="eastAsia" w:ascii="Arial Narrow" w:hAnsi="Arial Narrow" w:cs="Arial Narrow"/>
          <w:sz w:val="24"/>
          <w:szCs w:val="24"/>
        </w:rPr>
        <w:t>以及市场等渠道获取的其他资料</w:t>
      </w:r>
      <w:r>
        <w:rPr>
          <w:rFonts w:ascii="Arial Narrow" w:hAnsi="Arial Narrow" w:cs="Arial Narrow"/>
          <w:sz w:val="24"/>
          <w:szCs w:val="24"/>
        </w:rPr>
        <w:t>；</w:t>
      </w:r>
    </w:p>
    <w:p w14:paraId="00BF56C4">
      <w:pPr>
        <w:numPr>
          <w:ilvl w:val="0"/>
          <w:numId w:val="21"/>
        </w:numPr>
        <w:spacing w:line="360" w:lineRule="auto"/>
        <w:ind w:left="0" w:firstLine="480" w:firstLineChars="200"/>
        <w:rPr>
          <w:rFonts w:ascii="Arial Narrow" w:hAnsi="Arial Narrow" w:cs="Arial Narrow"/>
          <w:sz w:val="24"/>
          <w:szCs w:val="24"/>
        </w:rPr>
      </w:pPr>
      <w:r>
        <w:rPr>
          <w:rFonts w:hint="eastAsia" w:ascii="Arial Narrow" w:hAnsi="Arial Narrow" w:cs="Arial Narrow"/>
          <w:sz w:val="24"/>
          <w:szCs w:val="24"/>
        </w:rPr>
        <w:t>要求委托人或者其他相关当事人对其提供的资产评估明细表及其他重要资料进行确认；</w:t>
      </w:r>
    </w:p>
    <w:p w14:paraId="477059E5">
      <w:pPr>
        <w:numPr>
          <w:ilvl w:val="0"/>
          <w:numId w:val="21"/>
        </w:numPr>
        <w:spacing w:line="360" w:lineRule="auto"/>
        <w:ind w:left="0" w:firstLine="480" w:firstLineChars="200"/>
        <w:rPr>
          <w:rFonts w:ascii="Arial Narrow" w:hAnsi="Arial Narrow" w:cs="Arial Narrow"/>
          <w:sz w:val="24"/>
          <w:szCs w:val="24"/>
        </w:rPr>
      </w:pPr>
      <w:r>
        <w:rPr>
          <w:rFonts w:hint="eastAsia" w:ascii="Arial Narrow" w:hAnsi="Arial Narrow" w:cs="Arial Narrow"/>
          <w:sz w:val="24"/>
          <w:szCs w:val="24"/>
        </w:rPr>
        <w:t>依法对资产评估活动中使用的资料进行核查验证。核查验证的方式包括观察、询问、书面审查、实地调查、查询、函证、复核等。超出资产评估专业人员专业能力范畴的核查验证事项，资产评估专业人员委托或者要求委托人委托其他专业机构出具意见。</w:t>
      </w:r>
    </w:p>
    <w:p w14:paraId="3C3584FA">
      <w:pPr>
        <w:numPr>
          <w:ilvl w:val="0"/>
          <w:numId w:val="21"/>
        </w:numPr>
        <w:spacing w:line="360" w:lineRule="auto"/>
        <w:ind w:left="0" w:firstLine="480" w:firstLineChars="200"/>
        <w:rPr>
          <w:rFonts w:ascii="Arial Narrow" w:hAnsi="Arial Narrow" w:cs="Arial Narrow"/>
          <w:sz w:val="24"/>
          <w:szCs w:val="24"/>
        </w:rPr>
      </w:pPr>
      <w:r>
        <w:rPr>
          <w:rFonts w:hint="eastAsia" w:ascii="Arial Narrow" w:hAnsi="Arial Narrow" w:cs="Arial Narrow"/>
          <w:sz w:val="24"/>
          <w:szCs w:val="24"/>
        </w:rPr>
        <w:t>根据资产评估业务具体情况对收集的评估资料进行分析、归纳和整理，形成评定估算和编制资产评估报告的依据。</w:t>
      </w:r>
    </w:p>
    <w:p w14:paraId="6C3B4781">
      <w:pPr>
        <w:pStyle w:val="5"/>
        <w:numPr>
          <w:ilvl w:val="0"/>
          <w:numId w:val="20"/>
        </w:numPr>
        <w:tabs>
          <w:tab w:val="clear" w:pos="1080"/>
        </w:tabs>
        <w:spacing w:before="120" w:beforeLines="50" w:after="0" w:line="360" w:lineRule="auto"/>
        <w:ind w:left="0" w:firstLine="482" w:firstLineChars="200"/>
        <w:rPr>
          <w:rFonts w:hint="eastAsia" w:cs="Arial Narrow" w:asciiTheme="minorEastAsia" w:hAnsiTheme="minorEastAsia" w:eastAsiaTheme="minorEastAsia"/>
          <w:sz w:val="24"/>
          <w:szCs w:val="24"/>
        </w:rPr>
      </w:pPr>
      <w:r>
        <w:rPr>
          <w:rFonts w:hint="eastAsia" w:cs="Arial Narrow" w:asciiTheme="minorEastAsia" w:hAnsiTheme="minorEastAsia" w:eastAsiaTheme="minorEastAsia"/>
          <w:sz w:val="24"/>
          <w:szCs w:val="24"/>
        </w:rPr>
        <w:t>评定估算形成结论</w:t>
      </w:r>
    </w:p>
    <w:p w14:paraId="39331427">
      <w:pPr>
        <w:numPr>
          <w:ilvl w:val="0"/>
          <w:numId w:val="22"/>
        </w:numPr>
        <w:tabs>
          <w:tab w:val="left" w:pos="900"/>
        </w:tabs>
        <w:spacing w:line="360" w:lineRule="auto"/>
        <w:ind w:firstLine="480"/>
        <w:rPr>
          <w:rFonts w:ascii="Arial Narrow" w:hAnsi="Arial Narrow" w:cs="Arial Narrow"/>
          <w:sz w:val="24"/>
          <w:szCs w:val="24"/>
        </w:rPr>
      </w:pPr>
      <w:r>
        <w:rPr>
          <w:rFonts w:hint="eastAsia" w:ascii="Arial Narrow" w:hAnsi="Arial Narrow" w:cs="Arial Narrow"/>
          <w:sz w:val="24"/>
          <w:szCs w:val="24"/>
        </w:rPr>
        <w:t>根据评估目的、评估对象、价值类型、资料收集等情况，分析市场法、收益法和成本法三种资产评估基本方法的适用性，选择评估方法</w:t>
      </w:r>
      <w:r>
        <w:rPr>
          <w:rFonts w:ascii="Arial Narrow" w:hAnsi="Arial Narrow" w:cs="Arial Narrow"/>
          <w:sz w:val="24"/>
          <w:szCs w:val="24"/>
        </w:rPr>
        <w:t>；</w:t>
      </w:r>
    </w:p>
    <w:p w14:paraId="7798F268">
      <w:pPr>
        <w:numPr>
          <w:ilvl w:val="0"/>
          <w:numId w:val="22"/>
        </w:numPr>
        <w:tabs>
          <w:tab w:val="left" w:pos="900"/>
        </w:tabs>
        <w:spacing w:line="360" w:lineRule="auto"/>
        <w:ind w:firstLine="480"/>
        <w:rPr>
          <w:rFonts w:ascii="Arial Narrow" w:hAnsi="Arial Narrow" w:cs="Arial Narrow"/>
          <w:sz w:val="24"/>
          <w:szCs w:val="24"/>
        </w:rPr>
      </w:pPr>
      <w:r>
        <w:rPr>
          <w:rFonts w:hint="eastAsia" w:ascii="Arial Narrow" w:hAnsi="Arial Narrow" w:cs="Arial Narrow"/>
          <w:sz w:val="24"/>
          <w:szCs w:val="24"/>
        </w:rPr>
        <w:t>当根据所采用的评估方法，选取相应的公式和参数进行分析、计算和判断，形成测算结果</w:t>
      </w:r>
      <w:r>
        <w:rPr>
          <w:rFonts w:ascii="Arial Narrow" w:hAnsi="Arial Narrow" w:cs="Arial Narrow"/>
          <w:sz w:val="24"/>
          <w:szCs w:val="24"/>
        </w:rPr>
        <w:t>；</w:t>
      </w:r>
    </w:p>
    <w:p w14:paraId="4198829B">
      <w:pPr>
        <w:numPr>
          <w:ilvl w:val="0"/>
          <w:numId w:val="22"/>
        </w:numPr>
        <w:tabs>
          <w:tab w:val="left" w:pos="900"/>
        </w:tabs>
        <w:spacing w:line="360" w:lineRule="auto"/>
        <w:ind w:firstLine="480"/>
        <w:rPr>
          <w:rFonts w:ascii="Arial Narrow" w:hAnsi="Arial Narrow" w:cs="Arial Narrow"/>
          <w:sz w:val="24"/>
          <w:szCs w:val="24"/>
        </w:rPr>
      </w:pPr>
      <w:r>
        <w:rPr>
          <w:rFonts w:hint="eastAsia" w:ascii="Arial Narrow" w:hAnsi="Arial Narrow" w:cs="Arial Narrow"/>
          <w:sz w:val="24"/>
          <w:szCs w:val="24"/>
        </w:rPr>
        <w:t>对形成的测算结果进行综合分析，形成评估结论</w:t>
      </w:r>
      <w:r>
        <w:rPr>
          <w:rFonts w:ascii="Arial Narrow" w:hAnsi="Arial Narrow" w:cs="Arial Narrow"/>
          <w:sz w:val="24"/>
          <w:szCs w:val="24"/>
        </w:rPr>
        <w:t>。</w:t>
      </w:r>
    </w:p>
    <w:p w14:paraId="12D753D8">
      <w:pPr>
        <w:pStyle w:val="5"/>
        <w:numPr>
          <w:ilvl w:val="0"/>
          <w:numId w:val="20"/>
        </w:numPr>
        <w:tabs>
          <w:tab w:val="clear" w:pos="1080"/>
        </w:tabs>
        <w:spacing w:before="120" w:beforeLines="50" w:after="0" w:line="360" w:lineRule="auto"/>
        <w:ind w:left="0" w:firstLine="482" w:firstLineChars="200"/>
        <w:rPr>
          <w:rFonts w:hint="eastAsia" w:cs="Arial Narrow" w:asciiTheme="minorEastAsia" w:hAnsiTheme="minorEastAsia" w:eastAsiaTheme="minorEastAsia"/>
          <w:sz w:val="24"/>
          <w:szCs w:val="24"/>
        </w:rPr>
      </w:pPr>
      <w:r>
        <w:rPr>
          <w:rFonts w:hint="eastAsia" w:cs="Arial Narrow" w:asciiTheme="minorEastAsia" w:hAnsiTheme="minorEastAsia" w:eastAsiaTheme="minorEastAsia"/>
          <w:sz w:val="24"/>
          <w:szCs w:val="24"/>
        </w:rPr>
        <w:t>编制出具评估报告</w:t>
      </w:r>
    </w:p>
    <w:p w14:paraId="69B84FA5">
      <w:pPr>
        <w:numPr>
          <w:ilvl w:val="0"/>
          <w:numId w:val="23"/>
        </w:numPr>
        <w:tabs>
          <w:tab w:val="left" w:pos="900"/>
        </w:tabs>
        <w:spacing w:line="360" w:lineRule="auto"/>
        <w:ind w:firstLine="480"/>
        <w:rPr>
          <w:rFonts w:ascii="Arial Narrow" w:hAnsi="Arial Narrow" w:cs="Arial Narrow"/>
          <w:sz w:val="24"/>
          <w:szCs w:val="24"/>
        </w:rPr>
      </w:pPr>
      <w:r>
        <w:rPr>
          <w:rFonts w:hint="eastAsia" w:ascii="Arial Narrow" w:hAnsi="Arial Narrow" w:cs="Arial Narrow"/>
          <w:sz w:val="24"/>
          <w:szCs w:val="24"/>
        </w:rPr>
        <w:t>在评定、估算形成评估结论后，编制初步资产评估报告；</w:t>
      </w:r>
    </w:p>
    <w:p w14:paraId="5ED46666">
      <w:pPr>
        <w:numPr>
          <w:ilvl w:val="0"/>
          <w:numId w:val="23"/>
        </w:numPr>
        <w:tabs>
          <w:tab w:val="left" w:pos="900"/>
        </w:tabs>
        <w:spacing w:line="360" w:lineRule="auto"/>
        <w:ind w:firstLine="480"/>
        <w:rPr>
          <w:rFonts w:ascii="Arial Narrow" w:hAnsi="Arial Narrow" w:cs="Arial Narrow"/>
          <w:sz w:val="24"/>
          <w:szCs w:val="24"/>
        </w:rPr>
      </w:pPr>
      <w:r>
        <w:rPr>
          <w:rFonts w:hint="eastAsia" w:ascii="Arial Narrow" w:hAnsi="Arial Narrow" w:cs="Arial Narrow"/>
          <w:sz w:val="24"/>
          <w:szCs w:val="24"/>
        </w:rPr>
        <w:t>按照法律、行政法规、资产评估准则和内部质量控制制度，对初步资产评估报告进行内部审核；</w:t>
      </w:r>
    </w:p>
    <w:p w14:paraId="156941C1">
      <w:pPr>
        <w:numPr>
          <w:ilvl w:val="0"/>
          <w:numId w:val="23"/>
        </w:numPr>
        <w:tabs>
          <w:tab w:val="left" w:pos="900"/>
        </w:tabs>
        <w:spacing w:line="360" w:lineRule="auto"/>
        <w:ind w:firstLine="480"/>
        <w:rPr>
          <w:rFonts w:ascii="Arial Narrow" w:hAnsi="Arial Narrow" w:cs="Arial Narrow"/>
          <w:sz w:val="24"/>
          <w:szCs w:val="24"/>
        </w:rPr>
      </w:pPr>
      <w:r>
        <w:rPr>
          <w:rFonts w:hint="eastAsia" w:ascii="Arial Narrow" w:hAnsi="Arial Narrow" w:cs="Arial Narrow"/>
          <w:sz w:val="24"/>
          <w:szCs w:val="24"/>
        </w:rPr>
        <w:t>出具资产评估报告前，在不影响对评估结论进行独立判断的前提下，与委托人或者委托人同意的其他相关当事人就资产评估报告有关内容进行沟通；</w:t>
      </w:r>
    </w:p>
    <w:p w14:paraId="020C55C5">
      <w:pPr>
        <w:numPr>
          <w:ilvl w:val="0"/>
          <w:numId w:val="23"/>
        </w:numPr>
        <w:tabs>
          <w:tab w:val="left" w:pos="900"/>
        </w:tabs>
        <w:spacing w:line="360" w:lineRule="auto"/>
        <w:ind w:firstLine="480"/>
        <w:rPr>
          <w:rFonts w:ascii="Arial Narrow" w:hAnsi="Arial Narrow" w:cs="Arial Narrow"/>
          <w:sz w:val="24"/>
          <w:szCs w:val="24"/>
        </w:rPr>
      </w:pPr>
      <w:r>
        <w:rPr>
          <w:rFonts w:hint="eastAsia" w:ascii="Arial Narrow" w:hAnsi="Arial Narrow" w:cs="Arial Narrow"/>
          <w:sz w:val="24"/>
          <w:szCs w:val="24"/>
        </w:rPr>
        <w:t>出具并提交资产评估报告。</w:t>
      </w:r>
    </w:p>
    <w:p w14:paraId="2E431313">
      <w:pPr>
        <w:pStyle w:val="5"/>
        <w:numPr>
          <w:ilvl w:val="0"/>
          <w:numId w:val="20"/>
        </w:numPr>
        <w:tabs>
          <w:tab w:val="clear" w:pos="1080"/>
        </w:tabs>
        <w:spacing w:before="120" w:beforeLines="50" w:after="0" w:line="360" w:lineRule="auto"/>
        <w:ind w:left="0" w:firstLine="482" w:firstLineChars="200"/>
        <w:rPr>
          <w:rFonts w:hint="eastAsia" w:cs="Arial Narrow" w:asciiTheme="minorEastAsia" w:hAnsiTheme="minorEastAsia" w:eastAsiaTheme="minorEastAsia"/>
          <w:sz w:val="24"/>
          <w:szCs w:val="24"/>
        </w:rPr>
      </w:pPr>
      <w:bookmarkStart w:id="96" w:name="_Toc433891596"/>
      <w:bookmarkStart w:id="97" w:name="_Toc372060792"/>
      <w:r>
        <w:rPr>
          <w:rFonts w:cs="Arial Narrow" w:asciiTheme="minorEastAsia" w:hAnsiTheme="minorEastAsia" w:eastAsiaTheme="minorEastAsia"/>
          <w:sz w:val="24"/>
          <w:szCs w:val="24"/>
        </w:rPr>
        <w:t>工作底稿归档</w:t>
      </w:r>
      <w:bookmarkEnd w:id="96"/>
      <w:bookmarkEnd w:id="97"/>
    </w:p>
    <w:p w14:paraId="5E3F95B2">
      <w:pPr>
        <w:spacing w:line="360" w:lineRule="auto"/>
        <w:ind w:firstLine="540" w:firstLineChars="225"/>
        <w:rPr>
          <w:rFonts w:ascii="Arial Narrow" w:hAnsi="Arial Narrow" w:cs="Arial Narrow"/>
          <w:sz w:val="24"/>
          <w:szCs w:val="24"/>
        </w:rPr>
      </w:pPr>
      <w:r>
        <w:rPr>
          <w:rFonts w:hint="eastAsia" w:ascii="Arial Narrow" w:hAnsi="Arial Narrow" w:cs="Arial Narrow"/>
          <w:sz w:val="24"/>
          <w:szCs w:val="24"/>
        </w:rPr>
        <w:t>按照法律、行政法规、资产评估准则和内部质量控制制度，对工作底稿、资产评估报告及其他相关资料进行整理，形成资产评估档案。</w:t>
      </w:r>
    </w:p>
    <w:p w14:paraId="485EBDAF">
      <w:pPr>
        <w:pStyle w:val="3"/>
        <w:numPr>
          <w:ilvl w:val="0"/>
          <w:numId w:val="5"/>
        </w:numPr>
        <w:tabs>
          <w:tab w:val="left" w:pos="1134"/>
          <w:tab w:val="left" w:pos="1276"/>
          <w:tab w:val="left" w:pos="1725"/>
        </w:tabs>
        <w:spacing w:before="240" w:after="0" w:line="360" w:lineRule="auto"/>
        <w:ind w:left="0" w:firstLine="562" w:firstLineChars="200"/>
        <w:rPr>
          <w:rFonts w:ascii="Arial Narrow" w:hAnsi="Arial Narrow" w:cs="Arial Narrow"/>
          <w:sz w:val="28"/>
          <w:szCs w:val="28"/>
        </w:rPr>
      </w:pPr>
      <w:bookmarkStart w:id="98" w:name="_Toc508451373"/>
      <w:bookmarkStart w:id="99" w:name="_Toc433891597"/>
      <w:bookmarkStart w:id="100" w:name="_Toc23218"/>
      <w:r>
        <w:rPr>
          <w:rFonts w:ascii="Arial Narrow" w:hAnsi="Arial Narrow" w:cs="Arial Narrow"/>
          <w:sz w:val="28"/>
          <w:szCs w:val="28"/>
        </w:rPr>
        <w:t>评估假设</w:t>
      </w:r>
      <w:bookmarkEnd w:id="98"/>
      <w:bookmarkEnd w:id="99"/>
      <w:bookmarkEnd w:id="100"/>
    </w:p>
    <w:p w14:paraId="759FAB40">
      <w:pPr>
        <w:spacing w:line="360" w:lineRule="auto"/>
        <w:ind w:firstLine="480" w:firstLineChars="200"/>
        <w:rPr>
          <w:rFonts w:ascii="Arial Narrow" w:hAnsi="Arial Narrow" w:cs="Arial Narrow"/>
          <w:sz w:val="24"/>
          <w:szCs w:val="24"/>
        </w:rPr>
      </w:pPr>
      <w:bookmarkStart w:id="101" w:name="_Toc433891600"/>
      <w:bookmarkStart w:id="102" w:name="_Toc20149"/>
      <w:r>
        <w:rPr>
          <w:rFonts w:hint="eastAsia" w:ascii="Arial Narrow" w:hAnsi="Arial Narrow" w:cs="Arial Narrow"/>
          <w:sz w:val="24"/>
          <w:szCs w:val="24"/>
        </w:rPr>
        <w:t>由于企业所处运营环境的变化以及不断变化着影响资产价值的种种因素，必须建立一些假设以便评估专业人员对资产进行价值判断，充分支持我们所得出的评估结论。本次评估是建立在以下前提和假设条件下的：</w:t>
      </w:r>
    </w:p>
    <w:p w14:paraId="0979BDCD">
      <w:pPr>
        <w:spacing w:line="360" w:lineRule="auto"/>
        <w:ind w:firstLine="480" w:firstLineChars="200"/>
        <w:rPr>
          <w:rFonts w:ascii="Arial Narrow" w:hAnsi="Arial Narrow" w:cs="Arial Narrow"/>
          <w:sz w:val="24"/>
          <w:szCs w:val="24"/>
        </w:rPr>
      </w:pPr>
      <w:r>
        <w:rPr>
          <w:rFonts w:hint="eastAsia" w:ascii="Arial Narrow" w:hAnsi="Arial Narrow" w:cs="Arial Narrow"/>
          <w:sz w:val="24"/>
          <w:szCs w:val="24"/>
        </w:rPr>
        <w:t>（一）基本假设</w:t>
      </w:r>
    </w:p>
    <w:p w14:paraId="1E730537">
      <w:pPr>
        <w:spacing w:line="360" w:lineRule="auto"/>
        <w:ind w:firstLine="480" w:firstLineChars="200"/>
        <w:rPr>
          <w:rFonts w:ascii="Arial Narrow" w:hAnsi="Arial Narrow" w:cs="Arial Narrow"/>
          <w:sz w:val="24"/>
          <w:szCs w:val="24"/>
        </w:rPr>
      </w:pPr>
      <w:r>
        <w:rPr>
          <w:rFonts w:hint="eastAsia" w:ascii="Arial Narrow" w:hAnsi="Arial Narrow" w:cs="Arial Narrow"/>
          <w:sz w:val="24"/>
          <w:szCs w:val="24"/>
        </w:rPr>
        <w:t>1、企业持续经营假设</w:t>
      </w:r>
    </w:p>
    <w:p w14:paraId="3D9BDB1C">
      <w:pPr>
        <w:spacing w:line="360" w:lineRule="auto"/>
        <w:ind w:firstLine="480" w:firstLineChars="200"/>
        <w:rPr>
          <w:rFonts w:ascii="Arial Narrow" w:hAnsi="Arial Narrow" w:cs="Arial Narrow"/>
          <w:sz w:val="24"/>
          <w:szCs w:val="24"/>
        </w:rPr>
      </w:pPr>
      <w:r>
        <w:rPr>
          <w:rFonts w:hint="eastAsia" w:ascii="Arial Narrow" w:hAnsi="Arial Narrow" w:cs="Arial Narrow"/>
          <w:sz w:val="24"/>
          <w:szCs w:val="24"/>
        </w:rPr>
        <w:t>企业持续经营假设是假定被评估企业的经营业务合法，并不会出现不可预见的因素导致其无法持续经营，被评估资产现有用途不变并原地持续使用。</w:t>
      </w:r>
    </w:p>
    <w:p w14:paraId="1F3189A1">
      <w:pPr>
        <w:spacing w:line="360" w:lineRule="auto"/>
        <w:ind w:firstLine="480" w:firstLineChars="200"/>
        <w:rPr>
          <w:rFonts w:ascii="Arial Narrow" w:hAnsi="Arial Narrow" w:cs="Arial Narrow"/>
          <w:sz w:val="24"/>
          <w:szCs w:val="24"/>
        </w:rPr>
      </w:pPr>
      <w:r>
        <w:rPr>
          <w:rFonts w:hint="eastAsia" w:ascii="Arial Narrow" w:hAnsi="Arial Narrow" w:cs="Arial Narrow"/>
          <w:sz w:val="24"/>
          <w:szCs w:val="24"/>
        </w:rPr>
        <w:t>2、交易假设</w:t>
      </w:r>
    </w:p>
    <w:p w14:paraId="4A79B1C4">
      <w:pPr>
        <w:spacing w:line="360" w:lineRule="auto"/>
        <w:ind w:firstLine="480" w:firstLineChars="200"/>
        <w:rPr>
          <w:rFonts w:ascii="Arial Narrow" w:hAnsi="Arial Narrow" w:cs="Arial Narrow"/>
          <w:sz w:val="24"/>
          <w:szCs w:val="24"/>
        </w:rPr>
      </w:pPr>
      <w:r>
        <w:rPr>
          <w:rFonts w:hint="eastAsia" w:ascii="Arial Narrow" w:hAnsi="Arial Narrow" w:cs="Arial Narrow"/>
          <w:sz w:val="24"/>
          <w:szCs w:val="24"/>
        </w:rPr>
        <w:t>交易假设是假定所有待评估资产已经处在交易的过程中，评估师根据待评估资产的交易条件等模拟市场进行估价。交易假设是资产评估得以进行的一个最基本的前提假设。</w:t>
      </w:r>
    </w:p>
    <w:p w14:paraId="39A58299">
      <w:pPr>
        <w:spacing w:line="360" w:lineRule="auto"/>
        <w:ind w:firstLine="480" w:firstLineChars="200"/>
        <w:rPr>
          <w:rFonts w:ascii="Arial Narrow" w:hAnsi="Arial Narrow" w:cs="Arial Narrow"/>
          <w:sz w:val="24"/>
          <w:szCs w:val="24"/>
        </w:rPr>
      </w:pPr>
      <w:r>
        <w:rPr>
          <w:rFonts w:hint="eastAsia" w:ascii="Arial Narrow" w:hAnsi="Arial Narrow" w:cs="Arial Narrow"/>
          <w:sz w:val="24"/>
          <w:szCs w:val="24"/>
        </w:rPr>
        <w:t>3、公开市场假设</w:t>
      </w:r>
    </w:p>
    <w:p w14:paraId="1D8FEB9F">
      <w:pPr>
        <w:spacing w:line="360" w:lineRule="auto"/>
        <w:ind w:firstLine="480" w:firstLineChars="200"/>
        <w:rPr>
          <w:rFonts w:ascii="Arial Narrow" w:hAnsi="Arial Narrow" w:cs="Arial Narrow"/>
          <w:sz w:val="24"/>
          <w:szCs w:val="24"/>
        </w:rPr>
      </w:pPr>
      <w:r>
        <w:rPr>
          <w:rFonts w:hint="eastAsia" w:ascii="Arial Narrow" w:hAnsi="Arial Narrow" w:cs="Arial Narrow"/>
          <w:sz w:val="24"/>
          <w:szCs w:val="24"/>
        </w:rPr>
        <w:t>公开市场假设是假定在市场上交易的资产，或拟在市场上交易的资产，资产交易双方彼此地位平等，彼此都有获取足够市场信息的机会和时间，以便于对资产的功能、用途及其交易价格等做出理智的判断。公开市场假设以资产在市场上可以公开买卖为基础。</w:t>
      </w:r>
    </w:p>
    <w:p w14:paraId="354EE38B">
      <w:pPr>
        <w:spacing w:line="360" w:lineRule="auto"/>
        <w:ind w:firstLine="480" w:firstLineChars="200"/>
        <w:rPr>
          <w:rFonts w:ascii="Arial Narrow" w:hAnsi="Arial Narrow" w:cs="Arial Narrow"/>
          <w:sz w:val="24"/>
          <w:szCs w:val="24"/>
        </w:rPr>
      </w:pPr>
      <w:r>
        <w:rPr>
          <w:rFonts w:hint="eastAsia" w:ascii="Arial Narrow" w:hAnsi="Arial Narrow" w:cs="Arial Narrow"/>
          <w:sz w:val="24"/>
          <w:szCs w:val="24"/>
        </w:rPr>
        <w:t>（二）一般假设</w:t>
      </w:r>
    </w:p>
    <w:p w14:paraId="2E7C087D">
      <w:pPr>
        <w:spacing w:line="360" w:lineRule="auto"/>
        <w:ind w:firstLine="480" w:firstLineChars="200"/>
        <w:rPr>
          <w:rFonts w:ascii="Arial Narrow" w:hAnsi="Arial Narrow" w:cs="Arial Narrow"/>
          <w:sz w:val="24"/>
          <w:szCs w:val="24"/>
        </w:rPr>
      </w:pPr>
      <w:r>
        <w:rPr>
          <w:rFonts w:hint="eastAsia" w:ascii="Arial Narrow" w:hAnsi="Arial Narrow" w:cs="Arial Narrow"/>
          <w:sz w:val="24"/>
          <w:szCs w:val="24"/>
        </w:rPr>
        <w:t>1、假设评估基准日后被评估单位持续经营。</w:t>
      </w:r>
    </w:p>
    <w:p w14:paraId="675E77B4">
      <w:pPr>
        <w:spacing w:line="360" w:lineRule="auto"/>
        <w:ind w:firstLine="480" w:firstLineChars="200"/>
        <w:rPr>
          <w:rFonts w:ascii="Arial Narrow" w:hAnsi="Arial Narrow" w:cs="Arial Narrow"/>
          <w:sz w:val="24"/>
          <w:szCs w:val="24"/>
        </w:rPr>
      </w:pPr>
      <w:r>
        <w:rPr>
          <w:rFonts w:hint="eastAsia" w:ascii="Arial Narrow" w:hAnsi="Arial Narrow" w:cs="Arial Narrow"/>
          <w:sz w:val="24"/>
          <w:szCs w:val="24"/>
        </w:rPr>
        <w:t>2、假设评估基准日后被评估单位所处国家和地区的政治、经济和社会环境无重大变化。</w:t>
      </w:r>
    </w:p>
    <w:p w14:paraId="2E231B7E">
      <w:pPr>
        <w:spacing w:line="360" w:lineRule="auto"/>
        <w:ind w:firstLine="480" w:firstLineChars="200"/>
        <w:rPr>
          <w:rFonts w:ascii="Arial Narrow" w:hAnsi="Arial Narrow" w:cs="Arial Narrow"/>
          <w:sz w:val="24"/>
          <w:szCs w:val="24"/>
        </w:rPr>
      </w:pPr>
      <w:r>
        <w:rPr>
          <w:rFonts w:hint="eastAsia" w:ascii="Arial Narrow" w:hAnsi="Arial Narrow" w:cs="Arial Narrow"/>
          <w:sz w:val="24"/>
          <w:szCs w:val="24"/>
        </w:rPr>
        <w:t>3、假设评估基准日后被评估单位所处国家宏观经济政策、产业政策和区域发展政策无重大变化。</w:t>
      </w:r>
    </w:p>
    <w:p w14:paraId="13E28838">
      <w:pPr>
        <w:spacing w:line="360" w:lineRule="auto"/>
        <w:ind w:firstLine="480" w:firstLineChars="200"/>
        <w:rPr>
          <w:rFonts w:ascii="Arial Narrow" w:hAnsi="Arial Narrow" w:cs="Arial Narrow"/>
          <w:sz w:val="24"/>
          <w:szCs w:val="24"/>
        </w:rPr>
      </w:pPr>
      <w:r>
        <w:rPr>
          <w:rFonts w:hint="eastAsia" w:ascii="Arial Narrow" w:hAnsi="Arial Narrow" w:cs="Arial Narrow"/>
          <w:sz w:val="24"/>
          <w:szCs w:val="24"/>
        </w:rPr>
        <w:t>4、假设和被评估单位相关的利率、汇率、赋税基准及税率、政策性征收费用等评估基准日后除已知事项外不发生重大变化。</w:t>
      </w:r>
    </w:p>
    <w:p w14:paraId="74907ED8">
      <w:pPr>
        <w:spacing w:line="360" w:lineRule="auto"/>
        <w:ind w:firstLine="480" w:firstLineChars="200"/>
        <w:rPr>
          <w:rFonts w:ascii="Arial Narrow" w:hAnsi="Arial Narrow" w:cs="Arial Narrow"/>
          <w:sz w:val="24"/>
          <w:szCs w:val="24"/>
        </w:rPr>
      </w:pPr>
      <w:r>
        <w:rPr>
          <w:rFonts w:hint="eastAsia" w:ascii="Arial Narrow" w:hAnsi="Arial Narrow" w:cs="Arial Narrow"/>
          <w:sz w:val="24"/>
          <w:szCs w:val="24"/>
        </w:rPr>
        <w:t>5、本评估报告的结论是以在产权明确的情况下，以企业持续经营并称职地对资产进行了有效管理为前提条件。在未来的持续经营中能够基本实现公司整体经营发展策略、目标为前提。</w:t>
      </w:r>
    </w:p>
    <w:p w14:paraId="665F0EA4">
      <w:pPr>
        <w:spacing w:line="360" w:lineRule="auto"/>
        <w:ind w:firstLine="480" w:firstLineChars="200"/>
        <w:rPr>
          <w:rFonts w:ascii="Arial Narrow" w:hAnsi="Arial Narrow" w:cs="Arial Narrow"/>
          <w:sz w:val="24"/>
          <w:szCs w:val="24"/>
        </w:rPr>
      </w:pPr>
      <w:r>
        <w:rPr>
          <w:rFonts w:hint="eastAsia" w:ascii="Arial Narrow" w:hAnsi="Arial Narrow" w:cs="Arial Narrow"/>
          <w:sz w:val="24"/>
          <w:szCs w:val="24"/>
        </w:rPr>
        <w:t>6、假设经济行为各方主体具备实施经济行为的能力条件，且本次经济行为对被评估资产的经济活动不会产生不利影响</w:t>
      </w:r>
    </w:p>
    <w:p w14:paraId="67C19240">
      <w:pPr>
        <w:spacing w:line="360" w:lineRule="auto"/>
        <w:ind w:firstLine="480" w:firstLineChars="200"/>
        <w:rPr>
          <w:rFonts w:ascii="Arial Narrow" w:hAnsi="Arial Narrow" w:cs="Arial Narrow"/>
          <w:sz w:val="24"/>
          <w:szCs w:val="24"/>
        </w:rPr>
      </w:pPr>
      <w:r>
        <w:rPr>
          <w:rFonts w:ascii="Arial Narrow" w:hAnsi="Arial Narrow" w:cs="Arial Narrow"/>
          <w:sz w:val="24"/>
          <w:szCs w:val="24"/>
        </w:rPr>
        <w:t>7</w:t>
      </w:r>
      <w:r>
        <w:rPr>
          <w:rFonts w:hint="eastAsia" w:ascii="Arial Narrow" w:hAnsi="Arial Narrow" w:cs="Arial Narrow"/>
          <w:sz w:val="24"/>
          <w:szCs w:val="24"/>
        </w:rPr>
        <w:t>、假设被评估单位完全遵守所有相关的法律法规。</w:t>
      </w:r>
    </w:p>
    <w:p w14:paraId="081497F1">
      <w:pPr>
        <w:spacing w:line="360" w:lineRule="auto"/>
        <w:ind w:firstLine="480" w:firstLineChars="200"/>
        <w:rPr>
          <w:rFonts w:ascii="Arial Narrow" w:hAnsi="Arial Narrow" w:cs="Arial Narrow"/>
          <w:sz w:val="24"/>
          <w:szCs w:val="24"/>
        </w:rPr>
      </w:pPr>
      <w:r>
        <w:rPr>
          <w:rFonts w:ascii="Arial Narrow" w:hAnsi="Arial Narrow" w:cs="Arial Narrow"/>
          <w:sz w:val="24"/>
          <w:szCs w:val="24"/>
        </w:rPr>
        <w:t>8</w:t>
      </w:r>
      <w:r>
        <w:rPr>
          <w:rFonts w:hint="eastAsia" w:ascii="Arial Narrow" w:hAnsi="Arial Narrow" w:cs="Arial Narrow"/>
          <w:sz w:val="24"/>
          <w:szCs w:val="24"/>
        </w:rPr>
        <w:t>、假设评估基准日后无不可抗力对被评估单位造成重大不利影响。</w:t>
      </w:r>
    </w:p>
    <w:p w14:paraId="1915A13D">
      <w:pPr>
        <w:spacing w:line="360" w:lineRule="auto"/>
        <w:ind w:firstLine="480" w:firstLineChars="200"/>
        <w:rPr>
          <w:rFonts w:ascii="Arial Narrow" w:hAnsi="Arial Narrow" w:cs="Arial Narrow"/>
          <w:sz w:val="24"/>
          <w:szCs w:val="24"/>
        </w:rPr>
      </w:pPr>
      <w:r>
        <w:rPr>
          <w:rFonts w:hint="eastAsia" w:ascii="Arial Narrow" w:hAnsi="Arial Narrow" w:cs="Arial Narrow"/>
          <w:sz w:val="24"/>
          <w:szCs w:val="24"/>
        </w:rPr>
        <w:t>（三）特殊假设</w:t>
      </w:r>
    </w:p>
    <w:p w14:paraId="6DD76CD6">
      <w:pPr>
        <w:spacing w:line="360" w:lineRule="auto"/>
        <w:ind w:firstLine="480" w:firstLineChars="200"/>
        <w:rPr>
          <w:rFonts w:ascii="Arial Narrow" w:hAnsi="Arial Narrow" w:cs="Arial Narrow"/>
          <w:sz w:val="24"/>
          <w:szCs w:val="24"/>
        </w:rPr>
      </w:pPr>
      <w:r>
        <w:rPr>
          <w:rFonts w:hint="eastAsia" w:ascii="Arial Narrow" w:hAnsi="Arial Narrow" w:cs="Arial Narrow"/>
          <w:sz w:val="24"/>
          <w:szCs w:val="24"/>
        </w:rPr>
        <w:t>1、假设评估基准日后被评估单位采用的会计政策和编写本评估报告时所采用的会计政策在重要方面保持一致。</w:t>
      </w:r>
    </w:p>
    <w:p w14:paraId="7C77391C">
      <w:pPr>
        <w:spacing w:line="360" w:lineRule="auto"/>
        <w:ind w:firstLine="480" w:firstLineChars="200"/>
        <w:rPr>
          <w:rFonts w:ascii="Arial Narrow" w:hAnsi="Arial Narrow" w:cs="Arial Narrow"/>
          <w:sz w:val="24"/>
          <w:szCs w:val="24"/>
        </w:rPr>
      </w:pPr>
      <w:r>
        <w:rPr>
          <w:rFonts w:hint="eastAsia" w:ascii="Arial Narrow" w:hAnsi="Arial Narrow" w:cs="Arial Narrow"/>
          <w:sz w:val="24"/>
          <w:szCs w:val="24"/>
        </w:rPr>
        <w:t>2、假设评估基准日后被评估单位在现有管理方式和管理水平的基础上，经营范围、经营模式与目前保持一致。</w:t>
      </w:r>
    </w:p>
    <w:p w14:paraId="04D6F29E">
      <w:pPr>
        <w:spacing w:line="360" w:lineRule="auto"/>
        <w:ind w:firstLine="480" w:firstLineChars="200"/>
        <w:rPr>
          <w:rFonts w:ascii="Arial Narrow" w:hAnsi="Arial Narrow" w:cs="Arial Narrow"/>
          <w:sz w:val="24"/>
          <w:szCs w:val="24"/>
        </w:rPr>
      </w:pPr>
      <w:r>
        <w:rPr>
          <w:rFonts w:hint="eastAsia" w:ascii="Arial Narrow" w:hAnsi="Arial Narrow" w:cs="Arial Narrow"/>
          <w:sz w:val="24"/>
          <w:szCs w:val="24"/>
        </w:rPr>
        <w:t>3、假设被评估单位的业务内容和结构在未来可预见年份内根据经营能力和市场需求情况进行合理的调整。</w:t>
      </w:r>
    </w:p>
    <w:p w14:paraId="45264C39">
      <w:pPr>
        <w:spacing w:line="360" w:lineRule="auto"/>
        <w:ind w:firstLine="480" w:firstLineChars="200"/>
        <w:rPr>
          <w:rFonts w:ascii="Arial Narrow" w:hAnsi="Arial Narrow" w:cs="Arial Narrow"/>
          <w:sz w:val="24"/>
          <w:szCs w:val="24"/>
        </w:rPr>
      </w:pPr>
      <w:r>
        <w:rPr>
          <w:rFonts w:hint="eastAsia" w:ascii="Arial Narrow" w:hAnsi="Arial Narrow" w:cs="Arial Narrow"/>
          <w:sz w:val="24"/>
          <w:szCs w:val="24"/>
        </w:rPr>
        <w:t>4、假设在未来可预见的时间内，企业按提供给评估师的发展规划进行发展，经营政策不做重大调整，预测的收入、成本及费用在未来经营中能如期实现；公司主要业务市场无重大变化；贵公司资金来源充足，不存在因融资问题而使各项经营计划的实施发生困难。评估机构对被评估单位未来盈利预测的利用，并不是对被评估单位未来盈利能力的保证。</w:t>
      </w:r>
    </w:p>
    <w:p w14:paraId="644028C7">
      <w:pPr>
        <w:spacing w:line="360" w:lineRule="auto"/>
        <w:ind w:firstLine="480" w:firstLineChars="200"/>
        <w:rPr>
          <w:rFonts w:ascii="Arial Narrow" w:hAnsi="Arial Narrow" w:cs="Arial Narrow"/>
          <w:sz w:val="24"/>
          <w:szCs w:val="24"/>
        </w:rPr>
      </w:pPr>
      <w:r>
        <w:rPr>
          <w:rFonts w:hint="eastAsia" w:ascii="Arial Narrow" w:hAnsi="Arial Narrow" w:cs="Arial Narrow"/>
          <w:sz w:val="24"/>
          <w:szCs w:val="24"/>
        </w:rPr>
        <w:t>5.均衡经营假设。企业的营业收入、成本、费用均衡发生，产品购价与产品销价变化基本同步；</w:t>
      </w:r>
    </w:p>
    <w:p w14:paraId="0C6955A1">
      <w:pPr>
        <w:spacing w:line="360" w:lineRule="auto"/>
        <w:ind w:firstLine="480" w:firstLineChars="200"/>
        <w:rPr>
          <w:rFonts w:ascii="Arial Narrow" w:hAnsi="Arial Narrow" w:cs="Arial Narrow"/>
          <w:sz w:val="24"/>
          <w:szCs w:val="24"/>
        </w:rPr>
      </w:pPr>
      <w:r>
        <w:rPr>
          <w:rFonts w:hint="eastAsia" w:ascii="Arial Narrow" w:hAnsi="Arial Narrow" w:cs="Arial Narrow"/>
          <w:sz w:val="24"/>
          <w:szCs w:val="24"/>
        </w:rPr>
        <w:t>6.不考虑通货膨胀因素的影响，资金的无风险报酬率保持为目前的水平。</w:t>
      </w:r>
    </w:p>
    <w:p w14:paraId="4006B437">
      <w:pPr>
        <w:spacing w:line="360" w:lineRule="auto"/>
        <w:ind w:firstLine="480" w:firstLineChars="200"/>
        <w:rPr>
          <w:rFonts w:hint="eastAsia" w:hAnsi="宋体"/>
          <w:sz w:val="24"/>
          <w:szCs w:val="24"/>
        </w:rPr>
      </w:pPr>
      <w:r>
        <w:rPr>
          <w:rFonts w:hint="eastAsia" w:ascii="Arial Narrow" w:hAnsi="Arial Narrow" w:cs="Arial Narrow"/>
          <w:sz w:val="24"/>
          <w:szCs w:val="24"/>
        </w:rPr>
        <w:t>本报告评估结果的计算是以评估对象在评估基准日的状况和评估报告对评估对象的假设和限制条件为依据进行。根据资产评估的要求，认定这些假设在评估基准日时成立，当未来经济环境发生较大变化，将不承担由于假设条件改变而推导出不同评估结论的责任</w:t>
      </w:r>
      <w:r>
        <w:rPr>
          <w:rFonts w:hAnsi="宋体"/>
          <w:sz w:val="24"/>
          <w:szCs w:val="24"/>
        </w:rPr>
        <w:t>。</w:t>
      </w:r>
    </w:p>
    <w:p w14:paraId="5C3C7AB2">
      <w:pPr>
        <w:pStyle w:val="3"/>
        <w:numPr>
          <w:ilvl w:val="0"/>
          <w:numId w:val="5"/>
        </w:numPr>
        <w:tabs>
          <w:tab w:val="left" w:pos="1134"/>
          <w:tab w:val="left" w:pos="1276"/>
          <w:tab w:val="left" w:pos="1725"/>
        </w:tabs>
        <w:spacing w:before="240" w:after="0" w:line="360" w:lineRule="auto"/>
        <w:ind w:left="0" w:firstLine="562" w:firstLineChars="200"/>
        <w:rPr>
          <w:rFonts w:ascii="Arial Narrow" w:hAnsi="Arial Narrow" w:cs="Arial Narrow"/>
          <w:sz w:val="28"/>
          <w:szCs w:val="28"/>
        </w:rPr>
      </w:pPr>
      <w:bookmarkStart w:id="103" w:name="_Toc508451374"/>
      <w:r>
        <w:rPr>
          <w:rFonts w:ascii="Arial Narrow" w:hAnsi="Arial Narrow" w:cs="Arial Narrow"/>
          <w:sz w:val="28"/>
          <w:szCs w:val="28"/>
        </w:rPr>
        <w:t>评估结论</w:t>
      </w:r>
      <w:bookmarkEnd w:id="101"/>
      <w:bookmarkEnd w:id="102"/>
      <w:bookmarkEnd w:id="103"/>
    </w:p>
    <w:p w14:paraId="173BDAE7">
      <w:pPr>
        <w:pStyle w:val="4"/>
        <w:numPr>
          <w:ilvl w:val="0"/>
          <w:numId w:val="24"/>
        </w:numPr>
        <w:snapToGrid w:val="0"/>
        <w:spacing w:line="360" w:lineRule="auto"/>
        <w:rPr>
          <w:rFonts w:hint="eastAsia" w:ascii="宋体" w:hAnsi="宋体"/>
          <w:b/>
          <w:sz w:val="24"/>
          <w:szCs w:val="24"/>
        </w:rPr>
      </w:pPr>
      <w:bookmarkStart w:id="104" w:name="_Toc433891601"/>
      <w:bookmarkStart w:id="105" w:name="_Toc13254"/>
      <w:r>
        <w:rPr>
          <w:rFonts w:hint="eastAsia" w:ascii="宋体" w:hAnsi="宋体"/>
          <w:b/>
          <w:sz w:val="24"/>
          <w:szCs w:val="24"/>
        </w:rPr>
        <w:t>资产基础法评估结论</w:t>
      </w:r>
    </w:p>
    <w:p w14:paraId="6E499A65">
      <w:pPr>
        <w:pStyle w:val="4"/>
        <w:snapToGrid w:val="0"/>
        <w:spacing w:line="360" w:lineRule="auto"/>
        <w:ind w:firstLine="480" w:firstLineChars="200"/>
        <w:rPr>
          <w:rFonts w:hint="eastAsia" w:ascii="宋体" w:hAnsi="宋体"/>
          <w:sz w:val="24"/>
          <w:szCs w:val="24"/>
        </w:rPr>
      </w:pPr>
      <w:r>
        <w:rPr>
          <w:rFonts w:hint="eastAsia" w:ascii="宋体" w:hAnsi="宋体"/>
          <w:sz w:val="24"/>
          <w:szCs w:val="24"/>
        </w:rPr>
        <w:t>经资产基础法评估，和县飞雁总资产账面价值为</w:t>
      </w:r>
      <w:r>
        <w:rPr>
          <w:rFonts w:ascii="宋体" w:hAnsi="宋体"/>
          <w:color w:val="FF0000"/>
          <w:sz w:val="24"/>
          <w:szCs w:val="24"/>
        </w:rPr>
        <w:t>1,924.95</w:t>
      </w:r>
      <w:r>
        <w:rPr>
          <w:rFonts w:hint="eastAsia" w:ascii="宋体" w:hAnsi="宋体"/>
          <w:sz w:val="24"/>
          <w:szCs w:val="24"/>
        </w:rPr>
        <w:t>万元，评估价值为</w:t>
      </w:r>
      <w:r>
        <w:rPr>
          <w:rFonts w:ascii="宋体" w:hAnsi="宋体"/>
          <w:color w:val="FF0000"/>
          <w:sz w:val="24"/>
          <w:szCs w:val="24"/>
        </w:rPr>
        <w:t>1,851.80</w:t>
      </w:r>
      <w:r>
        <w:rPr>
          <w:rFonts w:hint="eastAsia" w:ascii="宋体" w:hAnsi="宋体"/>
          <w:sz w:val="24"/>
          <w:szCs w:val="24"/>
        </w:rPr>
        <w:t>万元，增值</w:t>
      </w:r>
      <w:r>
        <w:rPr>
          <w:rFonts w:ascii="宋体" w:hAnsi="宋体"/>
          <w:color w:val="FF0000"/>
          <w:sz w:val="24"/>
          <w:szCs w:val="24"/>
        </w:rPr>
        <w:t>-73.15</w:t>
      </w:r>
      <w:r>
        <w:rPr>
          <w:rFonts w:hint="eastAsia" w:ascii="宋体" w:hAnsi="宋体"/>
          <w:sz w:val="24"/>
          <w:szCs w:val="24"/>
        </w:rPr>
        <w:t>万元，增值率</w:t>
      </w:r>
      <w:r>
        <w:rPr>
          <w:rFonts w:ascii="宋体" w:hAnsi="宋体"/>
          <w:sz w:val="24"/>
          <w:szCs w:val="24"/>
        </w:rPr>
        <w:t>-4.00</w:t>
      </w:r>
      <w:r>
        <w:rPr>
          <w:rFonts w:hint="eastAsia" w:ascii="宋体" w:hAnsi="宋体"/>
          <w:sz w:val="24"/>
          <w:szCs w:val="24"/>
        </w:rPr>
        <w:t>%；总负债账面价值为</w:t>
      </w:r>
      <w:r>
        <w:rPr>
          <w:rFonts w:ascii="宋体" w:hAnsi="宋体"/>
          <w:color w:val="FF0000"/>
          <w:sz w:val="24"/>
          <w:szCs w:val="24"/>
        </w:rPr>
        <w:t>955.62</w:t>
      </w:r>
      <w:r>
        <w:rPr>
          <w:rFonts w:hint="eastAsia" w:ascii="宋体" w:hAnsi="宋体"/>
          <w:sz w:val="24"/>
          <w:szCs w:val="24"/>
        </w:rPr>
        <w:t>万元，评估价值为</w:t>
      </w:r>
      <w:r>
        <w:rPr>
          <w:rFonts w:ascii="宋体" w:hAnsi="宋体"/>
          <w:color w:val="FF0000"/>
          <w:sz w:val="24"/>
          <w:szCs w:val="24"/>
        </w:rPr>
        <w:t>955.62</w:t>
      </w:r>
      <w:r>
        <w:rPr>
          <w:rFonts w:hint="eastAsia" w:ascii="宋体" w:hAnsi="宋体"/>
          <w:sz w:val="24"/>
          <w:szCs w:val="24"/>
        </w:rPr>
        <w:t>万元，无增减值；净资产账面价值为</w:t>
      </w:r>
      <w:r>
        <w:rPr>
          <w:rFonts w:ascii="宋体" w:hAnsi="宋体"/>
          <w:color w:val="FF0000"/>
          <w:sz w:val="24"/>
          <w:szCs w:val="24"/>
        </w:rPr>
        <w:t>969.33</w:t>
      </w:r>
      <w:r>
        <w:rPr>
          <w:rFonts w:hint="eastAsia" w:ascii="宋体" w:hAnsi="宋体"/>
          <w:sz w:val="24"/>
          <w:szCs w:val="24"/>
        </w:rPr>
        <w:t>万元，评估价值为</w:t>
      </w:r>
      <w:r>
        <w:rPr>
          <w:rFonts w:ascii="宋体" w:hAnsi="宋体"/>
          <w:color w:val="FF0000"/>
          <w:sz w:val="24"/>
          <w:szCs w:val="24"/>
        </w:rPr>
        <w:t>896.18</w:t>
      </w:r>
      <w:r>
        <w:rPr>
          <w:rFonts w:hint="eastAsia" w:ascii="宋体" w:hAnsi="宋体"/>
          <w:sz w:val="24"/>
          <w:szCs w:val="24"/>
        </w:rPr>
        <w:t>万元，增值</w:t>
      </w:r>
      <w:r>
        <w:rPr>
          <w:rFonts w:ascii="宋体" w:hAnsi="宋体"/>
          <w:color w:val="FF0000"/>
          <w:sz w:val="24"/>
          <w:szCs w:val="24"/>
        </w:rPr>
        <w:t>-73.15</w:t>
      </w:r>
      <w:r>
        <w:rPr>
          <w:rFonts w:hint="eastAsia" w:ascii="宋体" w:hAnsi="宋体"/>
          <w:sz w:val="24"/>
          <w:szCs w:val="24"/>
        </w:rPr>
        <w:t>万元，增值率</w:t>
      </w:r>
      <w:r>
        <w:rPr>
          <w:rFonts w:ascii="宋体" w:hAnsi="宋体"/>
          <w:sz w:val="24"/>
          <w:szCs w:val="24"/>
        </w:rPr>
        <w:t>-</w:t>
      </w:r>
      <w:r>
        <w:rPr>
          <w:rFonts w:hint="eastAsia" w:ascii="宋体" w:hAnsi="宋体"/>
          <w:sz w:val="24"/>
          <w:szCs w:val="24"/>
        </w:rPr>
        <w:t>8</w:t>
      </w:r>
      <w:r>
        <w:rPr>
          <w:rFonts w:ascii="宋体" w:hAnsi="宋体"/>
          <w:sz w:val="24"/>
          <w:szCs w:val="24"/>
        </w:rPr>
        <w:t>.00</w:t>
      </w:r>
      <w:r>
        <w:rPr>
          <w:rFonts w:hint="eastAsia" w:ascii="宋体" w:hAnsi="宋体"/>
          <w:sz w:val="24"/>
          <w:szCs w:val="24"/>
        </w:rPr>
        <w:t>%。</w:t>
      </w:r>
    </w:p>
    <w:p w14:paraId="18B503AA">
      <w:pPr>
        <w:pStyle w:val="4"/>
        <w:snapToGrid w:val="0"/>
        <w:spacing w:line="360" w:lineRule="auto"/>
        <w:ind w:firstLine="480" w:firstLineChars="200"/>
        <w:rPr>
          <w:rFonts w:hint="eastAsia" w:ascii="宋体" w:hAnsi="宋体"/>
          <w:sz w:val="24"/>
          <w:szCs w:val="24"/>
        </w:rPr>
      </w:pPr>
      <w:r>
        <w:rPr>
          <w:rFonts w:hint="eastAsia" w:ascii="宋体" w:hAnsi="宋体"/>
          <w:sz w:val="24"/>
          <w:szCs w:val="24"/>
        </w:rPr>
        <w:t>评估汇总情况详见下表：</w:t>
      </w:r>
    </w:p>
    <w:p w14:paraId="735A44AE">
      <w:pPr>
        <w:pStyle w:val="4"/>
        <w:snapToGrid w:val="0"/>
        <w:spacing w:line="360" w:lineRule="auto"/>
        <w:ind w:firstLine="0"/>
        <w:jc w:val="center"/>
        <w:rPr>
          <w:rFonts w:hint="eastAsia" w:ascii="宋体" w:hAnsi="宋体"/>
          <w:b/>
          <w:sz w:val="24"/>
          <w:szCs w:val="24"/>
        </w:rPr>
      </w:pPr>
      <w:r>
        <w:rPr>
          <w:rFonts w:hint="eastAsia" w:ascii="宋体" w:hAnsi="宋体"/>
          <w:b/>
          <w:sz w:val="24"/>
          <w:szCs w:val="24"/>
        </w:rPr>
        <w:t>资产评估结果汇总表</w:t>
      </w:r>
    </w:p>
    <w:p w14:paraId="6909C2B1">
      <w:pPr>
        <w:adjustRightInd w:val="0"/>
        <w:snapToGrid w:val="0"/>
        <w:spacing w:before="60" w:after="60" w:line="360" w:lineRule="auto"/>
        <w:jc w:val="right"/>
        <w:rPr>
          <w:rFonts w:hint="eastAsia" w:hAnsi="宋体"/>
          <w:sz w:val="21"/>
          <w:szCs w:val="21"/>
        </w:rPr>
      </w:pPr>
      <w:r>
        <w:rPr>
          <w:rFonts w:hint="eastAsia" w:hAnsi="宋体"/>
          <w:sz w:val="21"/>
          <w:szCs w:val="21"/>
        </w:rPr>
        <w:t>金额单位：万元</w:t>
      </w:r>
    </w:p>
    <w:tbl>
      <w:tblPr>
        <w:tblStyle w:val="59"/>
        <w:tblW w:w="8755"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232"/>
        <w:gridCol w:w="1677"/>
        <w:gridCol w:w="1703"/>
        <w:gridCol w:w="1627"/>
        <w:gridCol w:w="1516"/>
      </w:tblGrid>
      <w:tr w14:paraId="27C457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4" w:hRule="atLeast"/>
          <w:tblHeader/>
          <w:jc w:val="center"/>
        </w:trPr>
        <w:tc>
          <w:tcPr>
            <w:tcW w:w="2232" w:type="dxa"/>
          </w:tcPr>
          <w:p w14:paraId="367EE754">
            <w:pPr>
              <w:pStyle w:val="4"/>
              <w:ind w:firstLine="0"/>
              <w:jc w:val="center"/>
              <w:rPr>
                <w:rFonts w:hint="eastAsia" w:ascii="宋体" w:hAnsi="宋体"/>
                <w:szCs w:val="21"/>
              </w:rPr>
            </w:pPr>
            <w:r>
              <w:rPr>
                <w:rFonts w:hint="eastAsia" w:ascii="宋体" w:hAnsi="宋体"/>
                <w:szCs w:val="21"/>
              </w:rPr>
              <w:t>项目名称</w:t>
            </w:r>
          </w:p>
        </w:tc>
        <w:tc>
          <w:tcPr>
            <w:tcW w:w="1677" w:type="dxa"/>
          </w:tcPr>
          <w:p w14:paraId="3D7D51FD">
            <w:pPr>
              <w:pStyle w:val="4"/>
              <w:ind w:firstLine="0"/>
              <w:jc w:val="center"/>
              <w:rPr>
                <w:rFonts w:hint="eastAsia" w:ascii="宋体" w:hAnsi="宋体"/>
                <w:szCs w:val="21"/>
              </w:rPr>
            </w:pPr>
            <w:r>
              <w:rPr>
                <w:rFonts w:hint="eastAsia" w:ascii="宋体" w:hAnsi="宋体"/>
                <w:szCs w:val="21"/>
              </w:rPr>
              <w:t>账面价值</w:t>
            </w:r>
          </w:p>
        </w:tc>
        <w:tc>
          <w:tcPr>
            <w:tcW w:w="1703" w:type="dxa"/>
          </w:tcPr>
          <w:p w14:paraId="0BBF33E6">
            <w:pPr>
              <w:pStyle w:val="4"/>
              <w:ind w:firstLine="0"/>
              <w:jc w:val="center"/>
              <w:rPr>
                <w:rFonts w:hint="eastAsia" w:ascii="宋体" w:hAnsi="宋体"/>
                <w:szCs w:val="21"/>
              </w:rPr>
            </w:pPr>
            <w:r>
              <w:rPr>
                <w:rFonts w:hint="eastAsia" w:ascii="宋体" w:hAnsi="宋体"/>
                <w:szCs w:val="21"/>
              </w:rPr>
              <w:t>评估价值</w:t>
            </w:r>
          </w:p>
        </w:tc>
        <w:tc>
          <w:tcPr>
            <w:tcW w:w="1627" w:type="dxa"/>
          </w:tcPr>
          <w:p w14:paraId="4136C1FE">
            <w:pPr>
              <w:pStyle w:val="4"/>
              <w:ind w:firstLine="0"/>
              <w:jc w:val="center"/>
              <w:rPr>
                <w:rFonts w:hint="eastAsia" w:ascii="宋体" w:hAnsi="宋体"/>
                <w:szCs w:val="21"/>
              </w:rPr>
            </w:pPr>
            <w:r>
              <w:rPr>
                <w:rFonts w:hint="eastAsia" w:ascii="宋体" w:hAnsi="宋体"/>
                <w:szCs w:val="21"/>
              </w:rPr>
              <w:t>增减值</w:t>
            </w:r>
          </w:p>
        </w:tc>
        <w:tc>
          <w:tcPr>
            <w:tcW w:w="1516" w:type="dxa"/>
          </w:tcPr>
          <w:p w14:paraId="6CBCF307">
            <w:pPr>
              <w:pStyle w:val="4"/>
              <w:ind w:firstLine="0"/>
              <w:jc w:val="center"/>
              <w:rPr>
                <w:rFonts w:hint="eastAsia" w:ascii="宋体" w:hAnsi="宋体"/>
                <w:szCs w:val="21"/>
              </w:rPr>
            </w:pPr>
            <w:r>
              <w:rPr>
                <w:rFonts w:hint="eastAsia" w:ascii="宋体" w:hAnsi="宋体"/>
                <w:szCs w:val="21"/>
              </w:rPr>
              <w:t>增值率</w:t>
            </w:r>
            <w:r>
              <w:rPr>
                <w:rFonts w:ascii="宋体" w:hAnsi="宋体"/>
                <w:szCs w:val="21"/>
              </w:rPr>
              <w:t>%</w:t>
            </w:r>
          </w:p>
        </w:tc>
      </w:tr>
      <w:tr w14:paraId="4A87343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4" w:hRule="atLeast"/>
          <w:tblHeader/>
          <w:jc w:val="center"/>
        </w:trPr>
        <w:tc>
          <w:tcPr>
            <w:tcW w:w="2232" w:type="dxa"/>
            <w:vAlign w:val="center"/>
          </w:tcPr>
          <w:p w14:paraId="326BB119">
            <w:pPr>
              <w:pStyle w:val="4"/>
              <w:ind w:firstLine="0"/>
              <w:rPr>
                <w:rFonts w:hint="eastAsia" w:ascii="宋体" w:hAnsi="宋体"/>
                <w:szCs w:val="21"/>
              </w:rPr>
            </w:pPr>
            <w:r>
              <w:rPr>
                <w:rFonts w:hint="eastAsia" w:ascii="宋体" w:hAnsi="宋体"/>
                <w:szCs w:val="21"/>
              </w:rPr>
              <w:t>流动资产</w:t>
            </w:r>
          </w:p>
        </w:tc>
        <w:tc>
          <w:tcPr>
            <w:tcW w:w="1677" w:type="dxa"/>
          </w:tcPr>
          <w:p w14:paraId="6875D090">
            <w:pPr>
              <w:pStyle w:val="4"/>
              <w:keepNext/>
              <w:keepLines/>
              <w:ind w:firstLine="0"/>
              <w:jc w:val="right"/>
              <w:outlineLvl w:val="2"/>
              <w:rPr>
                <w:szCs w:val="21"/>
              </w:rPr>
            </w:pPr>
            <w:r>
              <w:rPr>
                <w:szCs w:val="21"/>
              </w:rPr>
              <w:t>976.46</w:t>
            </w:r>
          </w:p>
        </w:tc>
        <w:tc>
          <w:tcPr>
            <w:tcW w:w="1703" w:type="dxa"/>
          </w:tcPr>
          <w:p w14:paraId="0ACF2545">
            <w:pPr>
              <w:pStyle w:val="4"/>
              <w:keepNext/>
              <w:keepLines/>
              <w:ind w:firstLine="0"/>
              <w:jc w:val="right"/>
              <w:outlineLvl w:val="2"/>
              <w:rPr>
                <w:szCs w:val="21"/>
              </w:rPr>
            </w:pPr>
            <w:r>
              <w:rPr>
                <w:szCs w:val="21"/>
              </w:rPr>
              <w:t>976.46</w:t>
            </w:r>
          </w:p>
        </w:tc>
        <w:tc>
          <w:tcPr>
            <w:tcW w:w="1627" w:type="dxa"/>
          </w:tcPr>
          <w:p w14:paraId="47D56C55">
            <w:pPr>
              <w:pStyle w:val="4"/>
              <w:keepNext/>
              <w:keepLines/>
              <w:ind w:firstLine="0"/>
              <w:jc w:val="right"/>
              <w:outlineLvl w:val="2"/>
              <w:rPr>
                <w:szCs w:val="21"/>
              </w:rPr>
            </w:pPr>
          </w:p>
        </w:tc>
        <w:tc>
          <w:tcPr>
            <w:tcW w:w="1516" w:type="dxa"/>
          </w:tcPr>
          <w:p w14:paraId="61A9CF6B">
            <w:pPr>
              <w:pStyle w:val="4"/>
              <w:keepNext/>
              <w:keepLines/>
              <w:ind w:firstLine="0"/>
              <w:jc w:val="right"/>
              <w:outlineLvl w:val="2"/>
              <w:rPr>
                <w:szCs w:val="21"/>
              </w:rPr>
            </w:pPr>
          </w:p>
        </w:tc>
      </w:tr>
      <w:tr w14:paraId="323945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0" w:hRule="atLeast"/>
          <w:tblHeader/>
          <w:jc w:val="center"/>
        </w:trPr>
        <w:tc>
          <w:tcPr>
            <w:tcW w:w="2232" w:type="dxa"/>
            <w:vAlign w:val="center"/>
          </w:tcPr>
          <w:p w14:paraId="3FEAA427">
            <w:pPr>
              <w:pStyle w:val="4"/>
              <w:ind w:firstLine="0"/>
              <w:rPr>
                <w:rFonts w:hint="eastAsia" w:ascii="宋体" w:hAnsi="宋体"/>
                <w:szCs w:val="21"/>
              </w:rPr>
            </w:pPr>
            <w:r>
              <w:rPr>
                <w:rFonts w:hint="eastAsia" w:ascii="宋体" w:hAnsi="宋体"/>
                <w:szCs w:val="21"/>
              </w:rPr>
              <w:t>非流动资产</w:t>
            </w:r>
          </w:p>
        </w:tc>
        <w:tc>
          <w:tcPr>
            <w:tcW w:w="1677" w:type="dxa"/>
            <w:vAlign w:val="center"/>
          </w:tcPr>
          <w:p w14:paraId="27A85046">
            <w:pPr>
              <w:pStyle w:val="4"/>
              <w:keepNext/>
              <w:keepLines/>
              <w:ind w:firstLine="0"/>
              <w:jc w:val="right"/>
              <w:outlineLvl w:val="2"/>
              <w:rPr>
                <w:szCs w:val="21"/>
              </w:rPr>
            </w:pPr>
            <w:r>
              <w:rPr>
                <w:szCs w:val="21"/>
              </w:rPr>
              <w:t xml:space="preserve">948.50 </w:t>
            </w:r>
          </w:p>
        </w:tc>
        <w:tc>
          <w:tcPr>
            <w:tcW w:w="1703" w:type="dxa"/>
            <w:vAlign w:val="center"/>
          </w:tcPr>
          <w:p w14:paraId="7F1C5AAD">
            <w:pPr>
              <w:pStyle w:val="4"/>
              <w:keepNext/>
              <w:keepLines/>
              <w:ind w:firstLine="0"/>
              <w:jc w:val="right"/>
              <w:outlineLvl w:val="2"/>
              <w:rPr>
                <w:szCs w:val="21"/>
              </w:rPr>
            </w:pPr>
            <w:r>
              <w:rPr>
                <w:szCs w:val="21"/>
              </w:rPr>
              <w:t xml:space="preserve">875.34 </w:t>
            </w:r>
          </w:p>
        </w:tc>
        <w:tc>
          <w:tcPr>
            <w:tcW w:w="1627" w:type="dxa"/>
            <w:vAlign w:val="center"/>
          </w:tcPr>
          <w:p w14:paraId="7DCFA976">
            <w:pPr>
              <w:pStyle w:val="4"/>
              <w:keepNext/>
              <w:keepLines/>
              <w:ind w:firstLine="0"/>
              <w:jc w:val="right"/>
              <w:outlineLvl w:val="2"/>
              <w:rPr>
                <w:szCs w:val="21"/>
              </w:rPr>
            </w:pPr>
            <w:r>
              <w:rPr>
                <w:szCs w:val="21"/>
              </w:rPr>
              <w:t xml:space="preserve">-73.16 </w:t>
            </w:r>
          </w:p>
        </w:tc>
        <w:tc>
          <w:tcPr>
            <w:tcW w:w="1516" w:type="dxa"/>
            <w:vAlign w:val="center"/>
          </w:tcPr>
          <w:p w14:paraId="22A51592">
            <w:pPr>
              <w:pStyle w:val="4"/>
              <w:keepNext/>
              <w:keepLines/>
              <w:ind w:firstLine="0"/>
              <w:jc w:val="right"/>
              <w:outlineLvl w:val="2"/>
              <w:rPr>
                <w:szCs w:val="21"/>
              </w:rPr>
            </w:pPr>
            <w:r>
              <w:rPr>
                <w:szCs w:val="21"/>
              </w:rPr>
              <w:t xml:space="preserve">-8.00 </w:t>
            </w:r>
          </w:p>
        </w:tc>
      </w:tr>
      <w:tr w14:paraId="65FAA3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4" w:hRule="atLeast"/>
          <w:tblHeader/>
          <w:jc w:val="center"/>
        </w:trPr>
        <w:tc>
          <w:tcPr>
            <w:tcW w:w="2232" w:type="dxa"/>
            <w:vAlign w:val="center"/>
          </w:tcPr>
          <w:p w14:paraId="5A33BEB0">
            <w:pPr>
              <w:pStyle w:val="4"/>
              <w:ind w:firstLine="0"/>
              <w:rPr>
                <w:rFonts w:hint="eastAsia" w:ascii="宋体" w:hAnsi="宋体"/>
                <w:szCs w:val="21"/>
              </w:rPr>
            </w:pPr>
            <w:r>
              <w:rPr>
                <w:rFonts w:hint="eastAsia" w:ascii="宋体" w:hAnsi="宋体"/>
                <w:szCs w:val="21"/>
              </w:rPr>
              <w:t>其中：长期股权投资</w:t>
            </w:r>
          </w:p>
        </w:tc>
        <w:tc>
          <w:tcPr>
            <w:tcW w:w="1677" w:type="dxa"/>
          </w:tcPr>
          <w:p w14:paraId="0E275DE7">
            <w:pPr>
              <w:pStyle w:val="4"/>
              <w:keepNext/>
              <w:keepLines/>
              <w:ind w:firstLine="0"/>
              <w:jc w:val="right"/>
              <w:outlineLvl w:val="2"/>
              <w:rPr>
                <w:szCs w:val="21"/>
              </w:rPr>
            </w:pPr>
          </w:p>
        </w:tc>
        <w:tc>
          <w:tcPr>
            <w:tcW w:w="1703" w:type="dxa"/>
          </w:tcPr>
          <w:p w14:paraId="174A12FB">
            <w:pPr>
              <w:pStyle w:val="4"/>
              <w:keepNext/>
              <w:keepLines/>
              <w:ind w:firstLine="0"/>
              <w:jc w:val="right"/>
              <w:outlineLvl w:val="2"/>
              <w:rPr>
                <w:szCs w:val="21"/>
              </w:rPr>
            </w:pPr>
          </w:p>
        </w:tc>
        <w:tc>
          <w:tcPr>
            <w:tcW w:w="1627" w:type="dxa"/>
          </w:tcPr>
          <w:p w14:paraId="0FC6D32B">
            <w:pPr>
              <w:pStyle w:val="4"/>
              <w:keepNext/>
              <w:keepLines/>
              <w:ind w:firstLine="0"/>
              <w:jc w:val="right"/>
              <w:outlineLvl w:val="2"/>
              <w:rPr>
                <w:szCs w:val="21"/>
              </w:rPr>
            </w:pPr>
          </w:p>
        </w:tc>
        <w:tc>
          <w:tcPr>
            <w:tcW w:w="1516" w:type="dxa"/>
          </w:tcPr>
          <w:p w14:paraId="599FE3FF">
            <w:pPr>
              <w:pStyle w:val="4"/>
              <w:keepNext/>
              <w:keepLines/>
              <w:ind w:firstLine="0"/>
              <w:jc w:val="right"/>
              <w:outlineLvl w:val="2"/>
              <w:rPr>
                <w:szCs w:val="21"/>
              </w:rPr>
            </w:pPr>
          </w:p>
        </w:tc>
      </w:tr>
      <w:tr w14:paraId="769CF0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4" w:hRule="atLeast"/>
          <w:tblHeader/>
          <w:jc w:val="center"/>
        </w:trPr>
        <w:tc>
          <w:tcPr>
            <w:tcW w:w="2232" w:type="dxa"/>
            <w:vAlign w:val="center"/>
          </w:tcPr>
          <w:p w14:paraId="5B5F349F">
            <w:pPr>
              <w:pStyle w:val="4"/>
              <w:ind w:firstLine="0"/>
              <w:rPr>
                <w:rFonts w:hint="eastAsia" w:ascii="宋体" w:hAnsi="宋体"/>
                <w:szCs w:val="21"/>
              </w:rPr>
            </w:pPr>
            <w:r>
              <w:rPr>
                <w:rFonts w:hint="eastAsia" w:ascii="宋体" w:hAnsi="宋体"/>
                <w:szCs w:val="21"/>
              </w:rPr>
              <w:t>长期债权投资</w:t>
            </w:r>
          </w:p>
        </w:tc>
        <w:tc>
          <w:tcPr>
            <w:tcW w:w="1677" w:type="dxa"/>
          </w:tcPr>
          <w:p w14:paraId="6E72B0C5">
            <w:pPr>
              <w:pStyle w:val="4"/>
              <w:keepNext/>
              <w:keepLines/>
              <w:ind w:firstLine="0"/>
              <w:jc w:val="right"/>
              <w:outlineLvl w:val="2"/>
              <w:rPr>
                <w:szCs w:val="21"/>
              </w:rPr>
            </w:pPr>
          </w:p>
        </w:tc>
        <w:tc>
          <w:tcPr>
            <w:tcW w:w="1703" w:type="dxa"/>
          </w:tcPr>
          <w:p w14:paraId="40F45CD1">
            <w:pPr>
              <w:pStyle w:val="4"/>
              <w:keepNext/>
              <w:keepLines/>
              <w:ind w:firstLine="0"/>
              <w:jc w:val="right"/>
              <w:outlineLvl w:val="2"/>
              <w:rPr>
                <w:szCs w:val="21"/>
              </w:rPr>
            </w:pPr>
          </w:p>
        </w:tc>
        <w:tc>
          <w:tcPr>
            <w:tcW w:w="1627" w:type="dxa"/>
            <w:vAlign w:val="center"/>
          </w:tcPr>
          <w:p w14:paraId="7999A373">
            <w:pPr>
              <w:pStyle w:val="4"/>
              <w:keepNext/>
              <w:keepLines/>
              <w:ind w:firstLine="0"/>
              <w:jc w:val="right"/>
              <w:outlineLvl w:val="2"/>
              <w:rPr>
                <w:szCs w:val="21"/>
              </w:rPr>
            </w:pPr>
          </w:p>
        </w:tc>
        <w:tc>
          <w:tcPr>
            <w:tcW w:w="1516" w:type="dxa"/>
            <w:vAlign w:val="center"/>
          </w:tcPr>
          <w:p w14:paraId="162077B4">
            <w:pPr>
              <w:pStyle w:val="4"/>
              <w:keepNext/>
              <w:keepLines/>
              <w:ind w:firstLine="0"/>
              <w:jc w:val="right"/>
              <w:outlineLvl w:val="2"/>
              <w:rPr>
                <w:szCs w:val="21"/>
              </w:rPr>
            </w:pPr>
          </w:p>
        </w:tc>
      </w:tr>
      <w:tr w14:paraId="5E281E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4" w:hRule="atLeast"/>
          <w:tblHeader/>
          <w:jc w:val="center"/>
        </w:trPr>
        <w:tc>
          <w:tcPr>
            <w:tcW w:w="2232" w:type="dxa"/>
            <w:vAlign w:val="center"/>
          </w:tcPr>
          <w:p w14:paraId="7DD0F1CC">
            <w:pPr>
              <w:pStyle w:val="4"/>
              <w:ind w:firstLine="0"/>
              <w:rPr>
                <w:rFonts w:hint="eastAsia" w:ascii="宋体" w:hAnsi="宋体"/>
                <w:szCs w:val="21"/>
              </w:rPr>
            </w:pPr>
            <w:r>
              <w:rPr>
                <w:rFonts w:hint="eastAsia" w:ascii="宋体" w:hAnsi="宋体"/>
                <w:szCs w:val="21"/>
              </w:rPr>
              <w:t>固定资产</w:t>
            </w:r>
          </w:p>
        </w:tc>
        <w:tc>
          <w:tcPr>
            <w:tcW w:w="1677" w:type="dxa"/>
            <w:vAlign w:val="center"/>
          </w:tcPr>
          <w:p w14:paraId="53D92335">
            <w:pPr>
              <w:pStyle w:val="4"/>
              <w:keepNext/>
              <w:keepLines/>
              <w:ind w:firstLine="0"/>
              <w:jc w:val="right"/>
              <w:outlineLvl w:val="2"/>
              <w:rPr>
                <w:szCs w:val="21"/>
              </w:rPr>
            </w:pPr>
            <w:r>
              <w:rPr>
                <w:szCs w:val="21"/>
              </w:rPr>
              <w:t xml:space="preserve">718.46 </w:t>
            </w:r>
          </w:p>
        </w:tc>
        <w:tc>
          <w:tcPr>
            <w:tcW w:w="1703" w:type="dxa"/>
            <w:vAlign w:val="center"/>
          </w:tcPr>
          <w:p w14:paraId="4C288B15">
            <w:pPr>
              <w:pStyle w:val="4"/>
              <w:keepNext/>
              <w:keepLines/>
              <w:ind w:firstLine="0"/>
              <w:jc w:val="right"/>
              <w:outlineLvl w:val="2"/>
              <w:rPr>
                <w:szCs w:val="21"/>
              </w:rPr>
            </w:pPr>
            <w:r>
              <w:rPr>
                <w:szCs w:val="21"/>
              </w:rPr>
              <w:t xml:space="preserve">760.32 </w:t>
            </w:r>
          </w:p>
        </w:tc>
        <w:tc>
          <w:tcPr>
            <w:tcW w:w="1627" w:type="dxa"/>
            <w:vAlign w:val="center"/>
          </w:tcPr>
          <w:p w14:paraId="4A6C94DF">
            <w:pPr>
              <w:pStyle w:val="4"/>
              <w:keepNext/>
              <w:keepLines/>
              <w:ind w:firstLine="0"/>
              <w:jc w:val="right"/>
              <w:outlineLvl w:val="2"/>
              <w:rPr>
                <w:szCs w:val="21"/>
              </w:rPr>
            </w:pPr>
            <w:r>
              <w:rPr>
                <w:szCs w:val="21"/>
              </w:rPr>
              <w:t xml:space="preserve">41.86 </w:t>
            </w:r>
          </w:p>
        </w:tc>
        <w:tc>
          <w:tcPr>
            <w:tcW w:w="1516" w:type="dxa"/>
            <w:vAlign w:val="center"/>
          </w:tcPr>
          <w:p w14:paraId="42980C99">
            <w:pPr>
              <w:pStyle w:val="4"/>
              <w:keepNext/>
              <w:keepLines/>
              <w:ind w:firstLine="0"/>
              <w:jc w:val="right"/>
              <w:outlineLvl w:val="2"/>
              <w:rPr>
                <w:szCs w:val="21"/>
              </w:rPr>
            </w:pPr>
            <w:r>
              <w:rPr>
                <w:szCs w:val="21"/>
              </w:rPr>
              <w:t xml:space="preserve">6.00 </w:t>
            </w:r>
          </w:p>
        </w:tc>
      </w:tr>
      <w:tr w14:paraId="3B33F3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4" w:hRule="atLeast"/>
          <w:tblHeader/>
          <w:jc w:val="center"/>
        </w:trPr>
        <w:tc>
          <w:tcPr>
            <w:tcW w:w="2232" w:type="dxa"/>
            <w:vAlign w:val="center"/>
          </w:tcPr>
          <w:p w14:paraId="44232092">
            <w:pPr>
              <w:pStyle w:val="4"/>
              <w:ind w:firstLine="0"/>
              <w:rPr>
                <w:rFonts w:hint="eastAsia" w:ascii="宋体" w:hAnsi="宋体"/>
                <w:szCs w:val="21"/>
              </w:rPr>
            </w:pPr>
            <w:r>
              <w:rPr>
                <w:rFonts w:hint="eastAsia" w:ascii="宋体" w:hAnsi="宋体"/>
                <w:szCs w:val="21"/>
              </w:rPr>
              <w:t>在建工程</w:t>
            </w:r>
          </w:p>
        </w:tc>
        <w:tc>
          <w:tcPr>
            <w:tcW w:w="1677" w:type="dxa"/>
          </w:tcPr>
          <w:p w14:paraId="12A56200">
            <w:pPr>
              <w:pStyle w:val="4"/>
              <w:keepNext/>
              <w:keepLines/>
              <w:ind w:firstLine="0"/>
              <w:jc w:val="right"/>
              <w:outlineLvl w:val="2"/>
              <w:rPr>
                <w:szCs w:val="21"/>
              </w:rPr>
            </w:pPr>
          </w:p>
        </w:tc>
        <w:tc>
          <w:tcPr>
            <w:tcW w:w="1703" w:type="dxa"/>
          </w:tcPr>
          <w:p w14:paraId="6DAD4F1F">
            <w:pPr>
              <w:pStyle w:val="4"/>
              <w:keepNext/>
              <w:keepLines/>
              <w:ind w:firstLine="0"/>
              <w:jc w:val="right"/>
              <w:outlineLvl w:val="2"/>
              <w:rPr>
                <w:szCs w:val="21"/>
              </w:rPr>
            </w:pPr>
          </w:p>
        </w:tc>
        <w:tc>
          <w:tcPr>
            <w:tcW w:w="1627" w:type="dxa"/>
          </w:tcPr>
          <w:p w14:paraId="2CC15026">
            <w:pPr>
              <w:pStyle w:val="4"/>
              <w:keepNext/>
              <w:keepLines/>
              <w:ind w:firstLine="0"/>
              <w:jc w:val="right"/>
              <w:outlineLvl w:val="2"/>
              <w:rPr>
                <w:szCs w:val="21"/>
              </w:rPr>
            </w:pPr>
          </w:p>
        </w:tc>
        <w:tc>
          <w:tcPr>
            <w:tcW w:w="1516" w:type="dxa"/>
          </w:tcPr>
          <w:p w14:paraId="0F2C8D43">
            <w:pPr>
              <w:pStyle w:val="4"/>
              <w:keepNext/>
              <w:keepLines/>
              <w:ind w:firstLine="0"/>
              <w:jc w:val="right"/>
              <w:outlineLvl w:val="2"/>
              <w:rPr>
                <w:szCs w:val="21"/>
              </w:rPr>
            </w:pPr>
          </w:p>
        </w:tc>
      </w:tr>
      <w:tr w14:paraId="505F2B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4" w:hRule="atLeast"/>
          <w:tblHeader/>
          <w:jc w:val="center"/>
        </w:trPr>
        <w:tc>
          <w:tcPr>
            <w:tcW w:w="2232" w:type="dxa"/>
            <w:vAlign w:val="center"/>
          </w:tcPr>
          <w:p w14:paraId="530F276B">
            <w:pPr>
              <w:pStyle w:val="4"/>
              <w:ind w:firstLine="0"/>
              <w:rPr>
                <w:rFonts w:hint="eastAsia" w:ascii="宋体" w:hAnsi="宋体"/>
                <w:szCs w:val="21"/>
              </w:rPr>
            </w:pPr>
            <w:r>
              <w:rPr>
                <w:rFonts w:hint="eastAsia" w:ascii="宋体" w:hAnsi="宋体"/>
                <w:szCs w:val="21"/>
              </w:rPr>
              <w:t>无形资产</w:t>
            </w:r>
          </w:p>
        </w:tc>
        <w:tc>
          <w:tcPr>
            <w:tcW w:w="1677" w:type="dxa"/>
          </w:tcPr>
          <w:p w14:paraId="076806E5">
            <w:pPr>
              <w:pStyle w:val="4"/>
              <w:keepNext/>
              <w:keepLines/>
              <w:ind w:firstLine="0"/>
              <w:jc w:val="right"/>
              <w:outlineLvl w:val="2"/>
              <w:rPr>
                <w:szCs w:val="21"/>
              </w:rPr>
            </w:pPr>
          </w:p>
        </w:tc>
        <w:tc>
          <w:tcPr>
            <w:tcW w:w="1703" w:type="dxa"/>
          </w:tcPr>
          <w:p w14:paraId="3CDD3C8F">
            <w:pPr>
              <w:pStyle w:val="4"/>
              <w:keepNext/>
              <w:keepLines/>
              <w:ind w:firstLine="0"/>
              <w:jc w:val="right"/>
              <w:outlineLvl w:val="2"/>
              <w:rPr>
                <w:szCs w:val="21"/>
              </w:rPr>
            </w:pPr>
          </w:p>
        </w:tc>
        <w:tc>
          <w:tcPr>
            <w:tcW w:w="1627" w:type="dxa"/>
          </w:tcPr>
          <w:p w14:paraId="0E690ABA">
            <w:pPr>
              <w:pStyle w:val="4"/>
              <w:keepNext/>
              <w:keepLines/>
              <w:ind w:firstLine="0"/>
              <w:jc w:val="right"/>
              <w:outlineLvl w:val="2"/>
              <w:rPr>
                <w:szCs w:val="21"/>
              </w:rPr>
            </w:pPr>
          </w:p>
        </w:tc>
        <w:tc>
          <w:tcPr>
            <w:tcW w:w="1516" w:type="dxa"/>
          </w:tcPr>
          <w:p w14:paraId="6ECD2DB3">
            <w:pPr>
              <w:pStyle w:val="4"/>
              <w:keepNext/>
              <w:keepLines/>
              <w:ind w:firstLine="0"/>
              <w:jc w:val="right"/>
              <w:outlineLvl w:val="2"/>
              <w:rPr>
                <w:szCs w:val="21"/>
              </w:rPr>
            </w:pPr>
          </w:p>
        </w:tc>
      </w:tr>
      <w:tr w14:paraId="00BCA9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4" w:hRule="atLeast"/>
          <w:tblHeader/>
          <w:jc w:val="center"/>
        </w:trPr>
        <w:tc>
          <w:tcPr>
            <w:tcW w:w="2232" w:type="dxa"/>
            <w:vAlign w:val="center"/>
          </w:tcPr>
          <w:p w14:paraId="6E1C8602">
            <w:pPr>
              <w:pStyle w:val="4"/>
              <w:ind w:firstLine="0"/>
              <w:rPr>
                <w:rFonts w:hint="eastAsia" w:ascii="宋体" w:hAnsi="宋体"/>
                <w:szCs w:val="21"/>
              </w:rPr>
            </w:pPr>
            <w:r>
              <w:rPr>
                <w:rFonts w:hint="eastAsia" w:ascii="宋体" w:hAnsi="宋体"/>
                <w:szCs w:val="21"/>
              </w:rPr>
              <w:t>长期待摊费用</w:t>
            </w:r>
          </w:p>
        </w:tc>
        <w:tc>
          <w:tcPr>
            <w:tcW w:w="1677" w:type="dxa"/>
            <w:vAlign w:val="center"/>
          </w:tcPr>
          <w:p w14:paraId="574DF0F6">
            <w:pPr>
              <w:pStyle w:val="4"/>
              <w:keepNext/>
              <w:keepLines/>
              <w:ind w:firstLine="0"/>
              <w:jc w:val="right"/>
              <w:outlineLvl w:val="2"/>
              <w:rPr>
                <w:szCs w:val="21"/>
              </w:rPr>
            </w:pPr>
            <w:r>
              <w:rPr>
                <w:szCs w:val="21"/>
              </w:rPr>
              <w:t xml:space="preserve">230.04 </w:t>
            </w:r>
          </w:p>
        </w:tc>
        <w:tc>
          <w:tcPr>
            <w:tcW w:w="1703" w:type="dxa"/>
            <w:vAlign w:val="center"/>
          </w:tcPr>
          <w:p w14:paraId="6421FF7B">
            <w:pPr>
              <w:pStyle w:val="4"/>
              <w:keepNext/>
              <w:keepLines/>
              <w:ind w:firstLine="0"/>
              <w:jc w:val="right"/>
              <w:outlineLvl w:val="2"/>
              <w:rPr>
                <w:szCs w:val="21"/>
              </w:rPr>
            </w:pPr>
            <w:r>
              <w:rPr>
                <w:szCs w:val="21"/>
              </w:rPr>
              <w:t xml:space="preserve">115.02 </w:t>
            </w:r>
          </w:p>
        </w:tc>
        <w:tc>
          <w:tcPr>
            <w:tcW w:w="1627" w:type="dxa"/>
            <w:vAlign w:val="center"/>
          </w:tcPr>
          <w:p w14:paraId="07530407">
            <w:pPr>
              <w:pStyle w:val="4"/>
              <w:keepNext/>
              <w:keepLines/>
              <w:ind w:firstLine="0"/>
              <w:jc w:val="right"/>
              <w:outlineLvl w:val="2"/>
              <w:rPr>
                <w:szCs w:val="21"/>
              </w:rPr>
            </w:pPr>
            <w:r>
              <w:rPr>
                <w:szCs w:val="21"/>
              </w:rPr>
              <w:t xml:space="preserve">-115.02 </w:t>
            </w:r>
          </w:p>
        </w:tc>
        <w:tc>
          <w:tcPr>
            <w:tcW w:w="1516" w:type="dxa"/>
            <w:vAlign w:val="center"/>
          </w:tcPr>
          <w:p w14:paraId="16CE3B11">
            <w:pPr>
              <w:pStyle w:val="4"/>
              <w:keepNext/>
              <w:keepLines/>
              <w:ind w:firstLine="0"/>
              <w:jc w:val="right"/>
              <w:outlineLvl w:val="2"/>
              <w:rPr>
                <w:szCs w:val="21"/>
              </w:rPr>
            </w:pPr>
            <w:r>
              <w:rPr>
                <w:szCs w:val="21"/>
              </w:rPr>
              <w:t xml:space="preserve">-50.00 </w:t>
            </w:r>
          </w:p>
        </w:tc>
      </w:tr>
      <w:tr w14:paraId="32C56A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4" w:hRule="atLeast"/>
          <w:tblHeader/>
          <w:jc w:val="center"/>
        </w:trPr>
        <w:tc>
          <w:tcPr>
            <w:tcW w:w="2232" w:type="dxa"/>
            <w:vAlign w:val="center"/>
          </w:tcPr>
          <w:p w14:paraId="60B8F785">
            <w:pPr>
              <w:pStyle w:val="4"/>
              <w:ind w:firstLine="0"/>
              <w:rPr>
                <w:rFonts w:hint="eastAsia" w:ascii="宋体" w:hAnsi="宋体"/>
                <w:szCs w:val="21"/>
              </w:rPr>
            </w:pPr>
            <w:r>
              <w:rPr>
                <w:rFonts w:hint="eastAsia" w:ascii="宋体" w:hAnsi="宋体"/>
                <w:szCs w:val="21"/>
              </w:rPr>
              <w:t>其他</w:t>
            </w:r>
          </w:p>
        </w:tc>
        <w:tc>
          <w:tcPr>
            <w:tcW w:w="1677" w:type="dxa"/>
          </w:tcPr>
          <w:p w14:paraId="32FC9AC3">
            <w:pPr>
              <w:pStyle w:val="4"/>
              <w:keepNext/>
              <w:keepLines/>
              <w:ind w:firstLine="0"/>
              <w:jc w:val="right"/>
              <w:outlineLvl w:val="2"/>
              <w:rPr>
                <w:szCs w:val="21"/>
              </w:rPr>
            </w:pPr>
          </w:p>
        </w:tc>
        <w:tc>
          <w:tcPr>
            <w:tcW w:w="1703" w:type="dxa"/>
            <w:vAlign w:val="center"/>
          </w:tcPr>
          <w:p w14:paraId="1FC9E9EF">
            <w:pPr>
              <w:pStyle w:val="4"/>
              <w:keepNext/>
              <w:keepLines/>
              <w:ind w:firstLine="0"/>
              <w:jc w:val="right"/>
              <w:outlineLvl w:val="2"/>
              <w:rPr>
                <w:szCs w:val="21"/>
              </w:rPr>
            </w:pPr>
          </w:p>
        </w:tc>
        <w:tc>
          <w:tcPr>
            <w:tcW w:w="1627" w:type="dxa"/>
            <w:vAlign w:val="center"/>
          </w:tcPr>
          <w:p w14:paraId="2020270E">
            <w:pPr>
              <w:pStyle w:val="4"/>
              <w:keepNext/>
              <w:keepLines/>
              <w:ind w:firstLine="0"/>
              <w:jc w:val="right"/>
              <w:outlineLvl w:val="2"/>
              <w:rPr>
                <w:szCs w:val="21"/>
              </w:rPr>
            </w:pPr>
          </w:p>
        </w:tc>
        <w:tc>
          <w:tcPr>
            <w:tcW w:w="1516" w:type="dxa"/>
            <w:vAlign w:val="center"/>
          </w:tcPr>
          <w:p w14:paraId="0C870487">
            <w:pPr>
              <w:pStyle w:val="4"/>
              <w:keepNext/>
              <w:keepLines/>
              <w:ind w:firstLine="0"/>
              <w:jc w:val="right"/>
              <w:outlineLvl w:val="2"/>
              <w:rPr>
                <w:szCs w:val="21"/>
              </w:rPr>
            </w:pPr>
          </w:p>
        </w:tc>
      </w:tr>
      <w:tr w14:paraId="18FFC7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4" w:hRule="atLeast"/>
          <w:tblHeader/>
          <w:jc w:val="center"/>
        </w:trPr>
        <w:tc>
          <w:tcPr>
            <w:tcW w:w="2232" w:type="dxa"/>
            <w:vAlign w:val="center"/>
          </w:tcPr>
          <w:p w14:paraId="5A97CC05">
            <w:pPr>
              <w:pStyle w:val="4"/>
              <w:ind w:firstLine="0"/>
              <w:rPr>
                <w:rFonts w:hint="eastAsia" w:ascii="宋体" w:hAnsi="宋体"/>
                <w:szCs w:val="21"/>
              </w:rPr>
            </w:pPr>
            <w:r>
              <w:fldChar w:fldCharType="begin"/>
            </w:r>
            <w:r>
              <w:instrText xml:space="preserve"> HYPERLINK "file:///E:\\1资产评估\\1天健兴业\\0评估程序\\3评估报告模板\\1评估模板-feng\\2成本法评估明细表\\资产评估明细表（工贸企业）.xls" \l "分类汇总!B38" </w:instrText>
            </w:r>
            <w:r>
              <w:fldChar w:fldCharType="separate"/>
            </w:r>
            <w:r>
              <w:rPr>
                <w:rFonts w:hint="eastAsia" w:ascii="宋体" w:hAnsi="宋体"/>
                <w:szCs w:val="21"/>
              </w:rPr>
              <w:t>资产总计</w:t>
            </w:r>
            <w:r>
              <w:rPr>
                <w:rFonts w:hint="eastAsia" w:ascii="宋体" w:hAnsi="宋体"/>
                <w:szCs w:val="21"/>
              </w:rPr>
              <w:fldChar w:fldCharType="end"/>
            </w:r>
          </w:p>
        </w:tc>
        <w:tc>
          <w:tcPr>
            <w:tcW w:w="1677" w:type="dxa"/>
            <w:vAlign w:val="center"/>
          </w:tcPr>
          <w:p w14:paraId="0C7AC47F">
            <w:pPr>
              <w:pStyle w:val="4"/>
              <w:keepNext/>
              <w:keepLines/>
              <w:ind w:firstLine="0"/>
              <w:jc w:val="right"/>
              <w:outlineLvl w:val="2"/>
              <w:rPr>
                <w:szCs w:val="21"/>
              </w:rPr>
            </w:pPr>
            <w:r>
              <w:rPr>
                <w:szCs w:val="21"/>
              </w:rPr>
              <w:t xml:space="preserve">1,924.95 </w:t>
            </w:r>
          </w:p>
        </w:tc>
        <w:tc>
          <w:tcPr>
            <w:tcW w:w="1703" w:type="dxa"/>
            <w:vAlign w:val="center"/>
          </w:tcPr>
          <w:p w14:paraId="5CD0E618">
            <w:pPr>
              <w:pStyle w:val="4"/>
              <w:keepNext/>
              <w:keepLines/>
              <w:ind w:firstLine="0"/>
              <w:jc w:val="right"/>
              <w:outlineLvl w:val="2"/>
              <w:rPr>
                <w:szCs w:val="21"/>
              </w:rPr>
            </w:pPr>
            <w:r>
              <w:rPr>
                <w:szCs w:val="21"/>
              </w:rPr>
              <w:t xml:space="preserve">1,851.80 </w:t>
            </w:r>
          </w:p>
        </w:tc>
        <w:tc>
          <w:tcPr>
            <w:tcW w:w="1627" w:type="dxa"/>
            <w:vAlign w:val="center"/>
          </w:tcPr>
          <w:p w14:paraId="55181C21">
            <w:pPr>
              <w:pStyle w:val="4"/>
              <w:keepNext/>
              <w:keepLines/>
              <w:ind w:firstLine="0"/>
              <w:jc w:val="right"/>
              <w:outlineLvl w:val="2"/>
              <w:rPr>
                <w:szCs w:val="21"/>
              </w:rPr>
            </w:pPr>
            <w:r>
              <w:rPr>
                <w:szCs w:val="21"/>
              </w:rPr>
              <w:t xml:space="preserve">-73.15 </w:t>
            </w:r>
          </w:p>
        </w:tc>
        <w:tc>
          <w:tcPr>
            <w:tcW w:w="1516" w:type="dxa"/>
            <w:vAlign w:val="center"/>
          </w:tcPr>
          <w:p w14:paraId="18FC1008">
            <w:pPr>
              <w:pStyle w:val="4"/>
              <w:keepNext/>
              <w:keepLines/>
              <w:ind w:firstLine="0"/>
              <w:jc w:val="right"/>
              <w:outlineLvl w:val="2"/>
              <w:rPr>
                <w:szCs w:val="21"/>
              </w:rPr>
            </w:pPr>
            <w:r>
              <w:rPr>
                <w:szCs w:val="21"/>
              </w:rPr>
              <w:t xml:space="preserve">-4.00 </w:t>
            </w:r>
          </w:p>
        </w:tc>
      </w:tr>
      <w:tr w14:paraId="3ADD1B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4" w:hRule="atLeast"/>
          <w:tblHeader/>
          <w:jc w:val="center"/>
        </w:trPr>
        <w:tc>
          <w:tcPr>
            <w:tcW w:w="2232" w:type="dxa"/>
            <w:vAlign w:val="center"/>
          </w:tcPr>
          <w:p w14:paraId="27A54103">
            <w:pPr>
              <w:pStyle w:val="4"/>
              <w:ind w:firstLine="0"/>
              <w:rPr>
                <w:rFonts w:hint="eastAsia" w:ascii="宋体" w:hAnsi="宋体"/>
                <w:szCs w:val="21"/>
              </w:rPr>
            </w:pPr>
            <w:r>
              <w:rPr>
                <w:rFonts w:hint="eastAsia" w:ascii="宋体" w:hAnsi="宋体"/>
                <w:szCs w:val="21"/>
              </w:rPr>
              <w:t>流动负债</w:t>
            </w:r>
          </w:p>
        </w:tc>
        <w:tc>
          <w:tcPr>
            <w:tcW w:w="1677" w:type="dxa"/>
            <w:vAlign w:val="center"/>
          </w:tcPr>
          <w:p w14:paraId="09BBE43D">
            <w:pPr>
              <w:pStyle w:val="4"/>
              <w:keepNext/>
              <w:keepLines/>
              <w:ind w:firstLine="0"/>
              <w:jc w:val="right"/>
              <w:outlineLvl w:val="2"/>
              <w:rPr>
                <w:szCs w:val="21"/>
              </w:rPr>
            </w:pPr>
            <w:r>
              <w:rPr>
                <w:szCs w:val="21"/>
              </w:rPr>
              <w:t xml:space="preserve">955.62 </w:t>
            </w:r>
          </w:p>
        </w:tc>
        <w:tc>
          <w:tcPr>
            <w:tcW w:w="1703" w:type="dxa"/>
            <w:vAlign w:val="center"/>
          </w:tcPr>
          <w:p w14:paraId="082FAAF7">
            <w:pPr>
              <w:pStyle w:val="4"/>
              <w:keepNext/>
              <w:keepLines/>
              <w:ind w:firstLine="0"/>
              <w:jc w:val="right"/>
              <w:outlineLvl w:val="2"/>
              <w:rPr>
                <w:szCs w:val="21"/>
              </w:rPr>
            </w:pPr>
            <w:r>
              <w:rPr>
                <w:szCs w:val="21"/>
              </w:rPr>
              <w:t xml:space="preserve">955.62 </w:t>
            </w:r>
          </w:p>
        </w:tc>
        <w:tc>
          <w:tcPr>
            <w:tcW w:w="1627" w:type="dxa"/>
            <w:vAlign w:val="center"/>
          </w:tcPr>
          <w:p w14:paraId="27BE7F0D">
            <w:pPr>
              <w:pStyle w:val="4"/>
              <w:keepNext/>
              <w:keepLines/>
              <w:ind w:firstLine="0"/>
              <w:jc w:val="right"/>
              <w:outlineLvl w:val="2"/>
              <w:rPr>
                <w:szCs w:val="21"/>
              </w:rPr>
            </w:pPr>
            <w:r>
              <w:rPr>
                <w:szCs w:val="21"/>
              </w:rPr>
              <w:t xml:space="preserve">-   </w:t>
            </w:r>
          </w:p>
        </w:tc>
        <w:tc>
          <w:tcPr>
            <w:tcW w:w="1516" w:type="dxa"/>
            <w:vAlign w:val="center"/>
          </w:tcPr>
          <w:p w14:paraId="521CEDD6">
            <w:pPr>
              <w:pStyle w:val="4"/>
              <w:keepNext/>
              <w:keepLines/>
              <w:ind w:firstLine="0"/>
              <w:jc w:val="right"/>
              <w:outlineLvl w:val="2"/>
              <w:rPr>
                <w:szCs w:val="21"/>
              </w:rPr>
            </w:pPr>
            <w:r>
              <w:rPr>
                <w:szCs w:val="21"/>
              </w:rPr>
              <w:t xml:space="preserve">-   </w:t>
            </w:r>
          </w:p>
        </w:tc>
      </w:tr>
      <w:tr w14:paraId="1DD79A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4" w:hRule="atLeast"/>
          <w:tblHeader/>
          <w:jc w:val="center"/>
        </w:trPr>
        <w:tc>
          <w:tcPr>
            <w:tcW w:w="2232" w:type="dxa"/>
            <w:vAlign w:val="center"/>
          </w:tcPr>
          <w:p w14:paraId="4F867173">
            <w:pPr>
              <w:pStyle w:val="4"/>
              <w:ind w:firstLine="0"/>
              <w:rPr>
                <w:rFonts w:hint="eastAsia" w:ascii="宋体" w:hAnsi="宋体"/>
                <w:szCs w:val="21"/>
              </w:rPr>
            </w:pPr>
            <w:r>
              <w:rPr>
                <w:rFonts w:hint="eastAsia" w:ascii="宋体" w:hAnsi="宋体"/>
                <w:szCs w:val="21"/>
              </w:rPr>
              <w:t>非流动负债</w:t>
            </w:r>
          </w:p>
        </w:tc>
        <w:tc>
          <w:tcPr>
            <w:tcW w:w="1677" w:type="dxa"/>
            <w:vAlign w:val="center"/>
          </w:tcPr>
          <w:p w14:paraId="73BB34BF">
            <w:pPr>
              <w:pStyle w:val="4"/>
              <w:keepNext/>
              <w:keepLines/>
              <w:ind w:firstLine="0"/>
              <w:jc w:val="right"/>
              <w:outlineLvl w:val="2"/>
              <w:rPr>
                <w:szCs w:val="21"/>
              </w:rPr>
            </w:pPr>
            <w:r>
              <w:rPr>
                <w:szCs w:val="21"/>
              </w:rPr>
              <w:t xml:space="preserve">-   </w:t>
            </w:r>
          </w:p>
        </w:tc>
        <w:tc>
          <w:tcPr>
            <w:tcW w:w="1703" w:type="dxa"/>
            <w:vAlign w:val="center"/>
          </w:tcPr>
          <w:p w14:paraId="6FE379C5">
            <w:pPr>
              <w:pStyle w:val="4"/>
              <w:keepNext/>
              <w:keepLines/>
              <w:ind w:firstLine="0"/>
              <w:jc w:val="right"/>
              <w:outlineLvl w:val="2"/>
              <w:rPr>
                <w:szCs w:val="21"/>
              </w:rPr>
            </w:pPr>
            <w:r>
              <w:rPr>
                <w:szCs w:val="21"/>
              </w:rPr>
              <w:t xml:space="preserve">-   </w:t>
            </w:r>
          </w:p>
        </w:tc>
        <w:tc>
          <w:tcPr>
            <w:tcW w:w="1627" w:type="dxa"/>
            <w:vAlign w:val="center"/>
          </w:tcPr>
          <w:p w14:paraId="04C37A79">
            <w:pPr>
              <w:pStyle w:val="4"/>
              <w:keepNext/>
              <w:keepLines/>
              <w:ind w:firstLine="0"/>
              <w:jc w:val="right"/>
              <w:outlineLvl w:val="2"/>
              <w:rPr>
                <w:szCs w:val="21"/>
              </w:rPr>
            </w:pPr>
            <w:r>
              <w:rPr>
                <w:szCs w:val="21"/>
              </w:rPr>
              <w:t xml:space="preserve">-   </w:t>
            </w:r>
          </w:p>
        </w:tc>
        <w:tc>
          <w:tcPr>
            <w:tcW w:w="1516" w:type="dxa"/>
            <w:vAlign w:val="center"/>
          </w:tcPr>
          <w:p w14:paraId="5A3E29D4">
            <w:pPr>
              <w:pStyle w:val="4"/>
              <w:keepNext/>
              <w:keepLines/>
              <w:ind w:firstLine="0"/>
              <w:jc w:val="right"/>
              <w:outlineLvl w:val="2"/>
              <w:rPr>
                <w:szCs w:val="21"/>
              </w:rPr>
            </w:pPr>
            <w:r>
              <w:rPr>
                <w:szCs w:val="21"/>
              </w:rPr>
              <w:t xml:space="preserve">-   </w:t>
            </w:r>
          </w:p>
        </w:tc>
      </w:tr>
      <w:tr w14:paraId="4FAA48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4" w:hRule="atLeast"/>
          <w:tblHeader/>
          <w:jc w:val="center"/>
        </w:trPr>
        <w:tc>
          <w:tcPr>
            <w:tcW w:w="2232" w:type="dxa"/>
            <w:vAlign w:val="center"/>
          </w:tcPr>
          <w:p w14:paraId="735CB286">
            <w:pPr>
              <w:pStyle w:val="4"/>
              <w:ind w:firstLine="0"/>
              <w:rPr>
                <w:rFonts w:hint="eastAsia" w:ascii="宋体" w:hAnsi="宋体"/>
                <w:szCs w:val="21"/>
              </w:rPr>
            </w:pPr>
            <w:r>
              <w:rPr>
                <w:rFonts w:hint="eastAsia" w:ascii="宋体" w:hAnsi="宋体"/>
                <w:szCs w:val="21"/>
              </w:rPr>
              <w:t>负债总计</w:t>
            </w:r>
          </w:p>
        </w:tc>
        <w:tc>
          <w:tcPr>
            <w:tcW w:w="1677" w:type="dxa"/>
            <w:vAlign w:val="center"/>
          </w:tcPr>
          <w:p w14:paraId="4639BF42">
            <w:pPr>
              <w:pStyle w:val="4"/>
              <w:keepNext/>
              <w:keepLines/>
              <w:ind w:firstLine="0"/>
              <w:jc w:val="right"/>
              <w:outlineLvl w:val="2"/>
              <w:rPr>
                <w:szCs w:val="21"/>
              </w:rPr>
            </w:pPr>
            <w:r>
              <w:rPr>
                <w:szCs w:val="21"/>
              </w:rPr>
              <w:t xml:space="preserve">955.62 </w:t>
            </w:r>
          </w:p>
        </w:tc>
        <w:tc>
          <w:tcPr>
            <w:tcW w:w="1703" w:type="dxa"/>
            <w:vAlign w:val="center"/>
          </w:tcPr>
          <w:p w14:paraId="306B1521">
            <w:pPr>
              <w:pStyle w:val="4"/>
              <w:keepNext/>
              <w:keepLines/>
              <w:ind w:right="105" w:firstLine="0"/>
              <w:jc w:val="right"/>
              <w:outlineLvl w:val="2"/>
              <w:rPr>
                <w:szCs w:val="21"/>
              </w:rPr>
            </w:pPr>
            <w:r>
              <w:rPr>
                <w:szCs w:val="21"/>
              </w:rPr>
              <w:t xml:space="preserve">955.62 </w:t>
            </w:r>
          </w:p>
        </w:tc>
        <w:tc>
          <w:tcPr>
            <w:tcW w:w="1627" w:type="dxa"/>
            <w:vAlign w:val="center"/>
          </w:tcPr>
          <w:p w14:paraId="171657C6">
            <w:pPr>
              <w:pStyle w:val="4"/>
              <w:keepNext/>
              <w:keepLines/>
              <w:ind w:firstLine="0"/>
              <w:jc w:val="right"/>
              <w:outlineLvl w:val="2"/>
              <w:rPr>
                <w:szCs w:val="21"/>
              </w:rPr>
            </w:pPr>
            <w:r>
              <w:rPr>
                <w:szCs w:val="21"/>
              </w:rPr>
              <w:t xml:space="preserve">-   </w:t>
            </w:r>
          </w:p>
        </w:tc>
        <w:tc>
          <w:tcPr>
            <w:tcW w:w="1516" w:type="dxa"/>
            <w:vAlign w:val="center"/>
          </w:tcPr>
          <w:p w14:paraId="4F321707">
            <w:pPr>
              <w:pStyle w:val="4"/>
              <w:keepNext/>
              <w:keepLines/>
              <w:ind w:firstLine="0"/>
              <w:jc w:val="right"/>
              <w:outlineLvl w:val="2"/>
              <w:rPr>
                <w:szCs w:val="21"/>
              </w:rPr>
            </w:pPr>
            <w:r>
              <w:rPr>
                <w:szCs w:val="21"/>
              </w:rPr>
              <w:t xml:space="preserve">-   </w:t>
            </w:r>
          </w:p>
        </w:tc>
      </w:tr>
      <w:tr w14:paraId="22B3D8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4" w:hRule="atLeast"/>
          <w:tblHeader/>
          <w:jc w:val="center"/>
        </w:trPr>
        <w:tc>
          <w:tcPr>
            <w:tcW w:w="2232" w:type="dxa"/>
            <w:vAlign w:val="center"/>
          </w:tcPr>
          <w:p w14:paraId="529AF2C3">
            <w:pPr>
              <w:pStyle w:val="4"/>
              <w:ind w:firstLine="0"/>
              <w:rPr>
                <w:rFonts w:hint="eastAsia" w:ascii="宋体" w:hAnsi="宋体"/>
                <w:szCs w:val="21"/>
              </w:rPr>
            </w:pPr>
            <w:r>
              <w:rPr>
                <w:rFonts w:hint="eastAsia" w:ascii="宋体" w:hAnsi="宋体"/>
                <w:szCs w:val="21"/>
              </w:rPr>
              <w:t>净资产</w:t>
            </w:r>
          </w:p>
        </w:tc>
        <w:tc>
          <w:tcPr>
            <w:tcW w:w="1677" w:type="dxa"/>
            <w:vAlign w:val="center"/>
          </w:tcPr>
          <w:p w14:paraId="1D600D17">
            <w:pPr>
              <w:pStyle w:val="4"/>
              <w:keepNext/>
              <w:keepLines/>
              <w:ind w:firstLine="0"/>
              <w:jc w:val="right"/>
              <w:outlineLvl w:val="2"/>
              <w:rPr>
                <w:szCs w:val="21"/>
              </w:rPr>
            </w:pPr>
            <w:r>
              <w:rPr>
                <w:szCs w:val="21"/>
              </w:rPr>
              <w:t xml:space="preserve">969.33 </w:t>
            </w:r>
          </w:p>
        </w:tc>
        <w:tc>
          <w:tcPr>
            <w:tcW w:w="1703" w:type="dxa"/>
            <w:vAlign w:val="center"/>
          </w:tcPr>
          <w:p w14:paraId="08E2F490">
            <w:pPr>
              <w:pStyle w:val="4"/>
              <w:keepNext/>
              <w:keepLines/>
              <w:ind w:right="105" w:firstLine="0"/>
              <w:jc w:val="right"/>
              <w:outlineLvl w:val="2"/>
              <w:rPr>
                <w:szCs w:val="21"/>
              </w:rPr>
            </w:pPr>
            <w:r>
              <w:rPr>
                <w:szCs w:val="21"/>
              </w:rPr>
              <w:t xml:space="preserve">896.18 </w:t>
            </w:r>
          </w:p>
        </w:tc>
        <w:tc>
          <w:tcPr>
            <w:tcW w:w="1627" w:type="dxa"/>
            <w:vAlign w:val="center"/>
          </w:tcPr>
          <w:p w14:paraId="05CCFD8D">
            <w:pPr>
              <w:pStyle w:val="4"/>
              <w:keepNext/>
              <w:keepLines/>
              <w:ind w:firstLine="0"/>
              <w:jc w:val="right"/>
              <w:outlineLvl w:val="2"/>
              <w:rPr>
                <w:szCs w:val="21"/>
              </w:rPr>
            </w:pPr>
            <w:r>
              <w:rPr>
                <w:szCs w:val="21"/>
              </w:rPr>
              <w:t xml:space="preserve">-73.16 </w:t>
            </w:r>
          </w:p>
        </w:tc>
        <w:tc>
          <w:tcPr>
            <w:tcW w:w="1516" w:type="dxa"/>
            <w:vAlign w:val="center"/>
          </w:tcPr>
          <w:p w14:paraId="2427B768">
            <w:pPr>
              <w:pStyle w:val="4"/>
              <w:keepNext/>
              <w:keepLines/>
              <w:ind w:firstLine="0"/>
              <w:jc w:val="right"/>
              <w:outlineLvl w:val="2"/>
              <w:rPr>
                <w:szCs w:val="21"/>
              </w:rPr>
            </w:pPr>
            <w:r>
              <w:rPr>
                <w:szCs w:val="21"/>
              </w:rPr>
              <w:t xml:space="preserve">-8.00 </w:t>
            </w:r>
          </w:p>
        </w:tc>
      </w:tr>
    </w:tbl>
    <w:p w14:paraId="6887E699">
      <w:pPr>
        <w:pStyle w:val="4"/>
        <w:snapToGrid w:val="0"/>
        <w:spacing w:line="360" w:lineRule="auto"/>
        <w:ind w:firstLineChars="200"/>
        <w:rPr>
          <w:rFonts w:hint="eastAsia" w:ascii="宋体" w:hAnsi="宋体"/>
          <w:szCs w:val="24"/>
        </w:rPr>
      </w:pPr>
      <w:bookmarkStart w:id="106" w:name="_Toc186555679"/>
      <w:bookmarkStart w:id="107" w:name="_Toc186357223"/>
      <w:r>
        <w:rPr>
          <w:rFonts w:hint="eastAsia" w:ascii="宋体" w:hAnsi="宋体"/>
          <w:szCs w:val="24"/>
        </w:rPr>
        <w:t>注：评估结论的详细情况见《资产评估明细表》。</w:t>
      </w:r>
    </w:p>
    <w:p w14:paraId="40A67710">
      <w:pPr>
        <w:pStyle w:val="4"/>
        <w:numPr>
          <w:ilvl w:val="0"/>
          <w:numId w:val="24"/>
        </w:numPr>
        <w:snapToGrid w:val="0"/>
        <w:spacing w:line="360" w:lineRule="auto"/>
        <w:rPr>
          <w:rFonts w:hint="eastAsia" w:ascii="宋体" w:hAnsi="宋体"/>
          <w:b/>
          <w:sz w:val="24"/>
          <w:szCs w:val="24"/>
        </w:rPr>
      </w:pPr>
      <w:r>
        <w:rPr>
          <w:rFonts w:hint="eastAsia" w:ascii="宋体" w:hAnsi="宋体"/>
          <w:b/>
          <w:sz w:val="24"/>
          <w:szCs w:val="24"/>
        </w:rPr>
        <w:t>收益法评估结果</w:t>
      </w:r>
      <w:bookmarkEnd w:id="106"/>
      <w:bookmarkEnd w:id="107"/>
    </w:p>
    <w:p w14:paraId="4D3287D7">
      <w:pPr>
        <w:pStyle w:val="4"/>
        <w:snapToGrid w:val="0"/>
        <w:spacing w:line="360" w:lineRule="auto"/>
        <w:ind w:firstLine="480" w:firstLineChars="200"/>
        <w:rPr>
          <w:rFonts w:hint="eastAsia" w:ascii="宋体" w:hAnsi="宋体"/>
          <w:sz w:val="24"/>
          <w:szCs w:val="24"/>
        </w:rPr>
      </w:pPr>
      <w:r>
        <w:rPr>
          <w:rFonts w:hint="eastAsia" w:ascii="宋体" w:hAnsi="宋体"/>
          <w:sz w:val="24"/>
          <w:szCs w:val="24"/>
        </w:rPr>
        <w:t>经收益法评估，</w:t>
      </w:r>
      <w:bookmarkStart w:id="108" w:name="_Hlk116571932"/>
      <w:r>
        <w:rPr>
          <w:rFonts w:hint="eastAsia" w:ascii="宋体" w:hAnsi="宋体"/>
          <w:sz w:val="24"/>
          <w:szCs w:val="24"/>
        </w:rPr>
        <w:t>和县飞雁净资产价值为</w:t>
      </w:r>
      <w:r>
        <w:rPr>
          <w:rFonts w:hint="eastAsia" w:ascii="宋体" w:hAnsi="宋体"/>
          <w:color w:val="FF0000"/>
          <w:sz w:val="24"/>
          <w:szCs w:val="24"/>
        </w:rPr>
        <w:t>686.28</w:t>
      </w:r>
      <w:r>
        <w:rPr>
          <w:rFonts w:hint="eastAsia" w:ascii="宋体" w:hAnsi="宋体"/>
          <w:sz w:val="24"/>
          <w:szCs w:val="24"/>
        </w:rPr>
        <w:t>万元，较账面净资产</w:t>
      </w:r>
      <w:r>
        <w:rPr>
          <w:rFonts w:ascii="宋体" w:hAnsi="宋体"/>
          <w:color w:val="FF0000"/>
          <w:sz w:val="24"/>
          <w:szCs w:val="24"/>
        </w:rPr>
        <w:t>969.33</w:t>
      </w:r>
      <w:r>
        <w:rPr>
          <w:rFonts w:hint="eastAsia" w:ascii="宋体" w:hAnsi="宋体"/>
          <w:sz w:val="24"/>
          <w:szCs w:val="24"/>
        </w:rPr>
        <w:t>万元增值</w:t>
      </w:r>
      <w:r>
        <w:rPr>
          <w:rFonts w:ascii="宋体" w:hAnsi="宋体"/>
          <w:color w:val="FF0000"/>
          <w:sz w:val="24"/>
          <w:szCs w:val="24"/>
        </w:rPr>
        <w:t>-283.05</w:t>
      </w:r>
      <w:r>
        <w:rPr>
          <w:rFonts w:hint="eastAsia" w:ascii="宋体" w:hAnsi="宋体"/>
          <w:sz w:val="24"/>
          <w:szCs w:val="24"/>
        </w:rPr>
        <w:t>万元</w:t>
      </w:r>
      <w:bookmarkEnd w:id="108"/>
      <w:r>
        <w:rPr>
          <w:rFonts w:hint="eastAsia" w:ascii="宋体" w:hAnsi="宋体"/>
          <w:sz w:val="24"/>
          <w:szCs w:val="24"/>
        </w:rPr>
        <w:t>。</w:t>
      </w:r>
    </w:p>
    <w:p w14:paraId="26921395">
      <w:pPr>
        <w:pStyle w:val="4"/>
        <w:numPr>
          <w:ilvl w:val="0"/>
          <w:numId w:val="24"/>
        </w:numPr>
        <w:snapToGrid w:val="0"/>
        <w:spacing w:line="360" w:lineRule="auto"/>
        <w:rPr>
          <w:rFonts w:hint="eastAsia" w:ascii="宋体" w:hAnsi="宋体"/>
          <w:b/>
          <w:sz w:val="24"/>
          <w:szCs w:val="24"/>
        </w:rPr>
      </w:pPr>
      <w:r>
        <w:rPr>
          <w:rFonts w:hint="eastAsia" w:ascii="宋体" w:hAnsi="宋体"/>
          <w:b/>
          <w:sz w:val="24"/>
          <w:szCs w:val="24"/>
        </w:rPr>
        <w:t>评估结果的最终确定</w:t>
      </w:r>
    </w:p>
    <w:p w14:paraId="4D05F1C0">
      <w:pPr>
        <w:pStyle w:val="4"/>
        <w:snapToGrid w:val="0"/>
        <w:spacing w:line="360" w:lineRule="auto"/>
        <w:ind w:firstLine="480" w:firstLineChars="200"/>
        <w:rPr>
          <w:rFonts w:hint="eastAsia" w:ascii="宋体" w:hAnsi="宋体"/>
          <w:sz w:val="24"/>
          <w:szCs w:val="24"/>
        </w:rPr>
      </w:pPr>
      <w:bookmarkStart w:id="109" w:name="_Hlk116571972"/>
      <w:r>
        <w:rPr>
          <w:rFonts w:hint="eastAsia" w:ascii="宋体" w:hAnsi="宋体"/>
          <w:sz w:val="24"/>
          <w:szCs w:val="24"/>
        </w:rPr>
        <w:t>资产基础法从资产重置的角度反映了资产的公平市场价值，结合本次评估情况，被评估单位详细提供了其资产负债相关资料、评估师也从外部收集到满足资产基础法所需的资料，我们对被评估单位资产及负债进行全面的清查和评估，因此相对而言，资产基础法评估结果较为可靠，收益法受企业未来盈利能力、资产质量、企业经营能力、经营风险的影响较大，而被评估单位未来盈利能力具有较大的不确定性，因此本次评估以资产基础法的评估结果作为最终评估结论。</w:t>
      </w:r>
    </w:p>
    <w:p w14:paraId="54D7B2FB">
      <w:pPr>
        <w:tabs>
          <w:tab w:val="left" w:pos="900"/>
          <w:tab w:val="left" w:pos="2127"/>
        </w:tabs>
        <w:adjustRightInd w:val="0"/>
        <w:spacing w:line="360" w:lineRule="auto"/>
        <w:ind w:firstLine="480" w:firstLineChars="200"/>
        <w:textAlignment w:val="baseline"/>
        <w:rPr>
          <w:rFonts w:ascii="Arial Narrow" w:hAnsi="Arial Narrow" w:cs="Arial Narrow"/>
          <w:sz w:val="24"/>
        </w:rPr>
      </w:pPr>
      <w:r>
        <w:rPr>
          <w:rFonts w:hint="eastAsia" w:ascii="Arial Narrow" w:hAnsi="Arial Narrow" w:cs="Arial Narrow"/>
          <w:sz w:val="24"/>
        </w:rPr>
        <w:t>即</w:t>
      </w:r>
      <w:r>
        <w:rPr>
          <w:rFonts w:hint="eastAsia" w:hAnsi="宋体"/>
          <w:sz w:val="24"/>
          <w:szCs w:val="24"/>
        </w:rPr>
        <w:t>和县飞雁</w:t>
      </w:r>
      <w:r>
        <w:rPr>
          <w:rFonts w:hint="eastAsia" w:asciiTheme="minorEastAsia" w:hAnsiTheme="minorEastAsia" w:eastAsiaTheme="minorEastAsia"/>
          <w:sz w:val="24"/>
          <w:szCs w:val="24"/>
        </w:rPr>
        <w:t>全部股东权益</w:t>
      </w:r>
      <w:r>
        <w:rPr>
          <w:rFonts w:hint="eastAsia" w:ascii="Arial Narrow" w:hAnsi="Arial Narrow" w:cs="Arial Narrow"/>
          <w:kern w:val="2"/>
          <w:sz w:val="24"/>
          <w:szCs w:val="24"/>
        </w:rPr>
        <w:t>价值</w:t>
      </w:r>
      <w:r>
        <w:rPr>
          <w:rFonts w:hint="eastAsia" w:hAnsi="宋体"/>
          <w:sz w:val="24"/>
          <w:szCs w:val="24"/>
        </w:rPr>
        <w:t>在基准日时点的公允评估价值为</w:t>
      </w:r>
      <w:r>
        <w:rPr>
          <w:rFonts w:hAnsi="宋体"/>
          <w:color w:val="FF0000"/>
          <w:sz w:val="24"/>
          <w:szCs w:val="24"/>
        </w:rPr>
        <w:t>896.18</w:t>
      </w:r>
      <w:r>
        <w:rPr>
          <w:rFonts w:hint="eastAsia" w:hAnsi="宋体"/>
          <w:sz w:val="24"/>
          <w:szCs w:val="24"/>
        </w:rPr>
        <w:t>万元</w:t>
      </w:r>
      <w:bookmarkEnd w:id="109"/>
      <w:r>
        <w:rPr>
          <w:rFonts w:hint="eastAsia" w:ascii="Arial Narrow" w:hAnsi="Arial Narrow" w:cs="Arial Narrow"/>
          <w:sz w:val="24"/>
        </w:rPr>
        <w:t>。</w:t>
      </w:r>
    </w:p>
    <w:p w14:paraId="48DBBEEC">
      <w:pPr>
        <w:tabs>
          <w:tab w:val="left" w:pos="900"/>
          <w:tab w:val="left" w:pos="2127"/>
        </w:tabs>
        <w:adjustRightInd w:val="0"/>
        <w:spacing w:line="360" w:lineRule="auto"/>
        <w:ind w:firstLine="480" w:firstLineChars="200"/>
        <w:textAlignment w:val="baseline"/>
        <w:rPr>
          <w:rFonts w:ascii="Arial Narrow" w:hAnsi="Arial Narrow" w:cs="Arial Narrow"/>
          <w:sz w:val="24"/>
        </w:rPr>
      </w:pPr>
      <w:r>
        <w:rPr>
          <w:rFonts w:hint="eastAsia" w:ascii="Arial Narrow" w:hAnsi="Arial Narrow" w:cs="Arial Narrow"/>
          <w:sz w:val="24"/>
        </w:rPr>
        <w:t>巢湖汽运所持有的</w:t>
      </w:r>
      <w:r>
        <w:rPr>
          <w:rFonts w:hint="eastAsia" w:hAnsi="宋体"/>
          <w:sz w:val="24"/>
          <w:szCs w:val="24"/>
        </w:rPr>
        <w:t>和县飞雁</w:t>
      </w:r>
      <w:r>
        <w:rPr>
          <w:rFonts w:hint="eastAsia" w:ascii="Arial Narrow" w:hAnsi="Arial Narrow" w:cs="Arial Narrow"/>
          <w:sz w:val="24"/>
        </w:rPr>
        <w:t>51%股权评估值</w:t>
      </w:r>
    </w:p>
    <w:p w14:paraId="27EC7044">
      <w:pPr>
        <w:pStyle w:val="4"/>
        <w:snapToGrid w:val="0"/>
        <w:ind w:firstLine="482" w:firstLineChars="200"/>
        <w:rPr>
          <w:rFonts w:hint="eastAsia" w:ascii="宋体" w:hAnsi="宋体"/>
          <w:b/>
          <w:bCs/>
          <w:sz w:val="24"/>
          <w:szCs w:val="24"/>
        </w:rPr>
      </w:pPr>
      <w:r>
        <w:rPr>
          <w:rFonts w:hint="eastAsia" w:ascii="宋体" w:hAnsi="宋体"/>
          <w:b/>
          <w:bCs/>
          <w:sz w:val="24"/>
          <w:szCs w:val="24"/>
        </w:rPr>
        <w:t>=</w:t>
      </w:r>
      <w:r>
        <w:rPr>
          <w:rFonts w:ascii="宋体" w:hAnsi="宋体"/>
          <w:b/>
          <w:bCs/>
          <w:sz w:val="24"/>
          <w:szCs w:val="24"/>
        </w:rPr>
        <w:t>896.18</w:t>
      </w:r>
      <w:r>
        <w:rPr>
          <w:rFonts w:hint="eastAsia" w:ascii="宋体" w:hAnsi="宋体"/>
          <w:b/>
          <w:bCs/>
          <w:sz w:val="24"/>
          <w:szCs w:val="24"/>
        </w:rPr>
        <w:t>×51.00%=457.05万元</w:t>
      </w:r>
    </w:p>
    <w:p w14:paraId="71FA2537">
      <w:pPr>
        <w:pStyle w:val="3"/>
        <w:numPr>
          <w:ilvl w:val="0"/>
          <w:numId w:val="5"/>
        </w:numPr>
        <w:tabs>
          <w:tab w:val="left" w:pos="1134"/>
          <w:tab w:val="left" w:pos="1276"/>
          <w:tab w:val="left" w:pos="1418"/>
        </w:tabs>
        <w:spacing w:before="240" w:after="0" w:line="360" w:lineRule="auto"/>
        <w:ind w:left="0" w:firstLine="562" w:firstLineChars="200"/>
        <w:rPr>
          <w:rFonts w:ascii="Arial Narrow" w:hAnsi="Arial Narrow" w:cs="Arial Narrow"/>
          <w:sz w:val="28"/>
          <w:szCs w:val="28"/>
        </w:rPr>
      </w:pPr>
      <w:bookmarkStart w:id="110" w:name="_Toc508451375"/>
      <w:r>
        <w:rPr>
          <w:rFonts w:ascii="Arial Narrow" w:hAnsi="Arial Narrow" w:cs="Arial Narrow"/>
          <w:sz w:val="28"/>
          <w:szCs w:val="28"/>
        </w:rPr>
        <w:t>特别事项说明</w:t>
      </w:r>
      <w:bookmarkEnd w:id="104"/>
      <w:bookmarkEnd w:id="105"/>
      <w:bookmarkEnd w:id="110"/>
    </w:p>
    <w:p w14:paraId="2472AD9C">
      <w:pPr>
        <w:pStyle w:val="4"/>
        <w:snapToGrid w:val="0"/>
        <w:spacing w:line="360" w:lineRule="auto"/>
        <w:ind w:firstLine="480" w:firstLineChars="200"/>
        <w:rPr>
          <w:rFonts w:hint="eastAsia" w:ascii="宋体" w:hAnsi="宋体"/>
          <w:sz w:val="24"/>
          <w:szCs w:val="24"/>
        </w:rPr>
      </w:pPr>
      <w:bookmarkStart w:id="111" w:name="_Toc433891602"/>
      <w:bookmarkStart w:id="112" w:name="_Toc13937"/>
      <w:r>
        <w:rPr>
          <w:rFonts w:hint="eastAsia" w:ascii="宋体" w:hAnsi="宋体"/>
          <w:sz w:val="24"/>
          <w:szCs w:val="24"/>
        </w:rPr>
        <w:t>以下事项并非本公司评估人员执业水平和能力所能评定和估算，但该事项确实可能影响评估结论，</w:t>
      </w:r>
      <w:r>
        <w:rPr>
          <w:rFonts w:hint="eastAsia" w:ascii="宋体" w:hAnsi="宋体"/>
          <w:b/>
          <w:sz w:val="24"/>
          <w:szCs w:val="24"/>
        </w:rPr>
        <w:t>提请本评估报告使用人对此应特别关注：</w:t>
      </w:r>
    </w:p>
    <w:p w14:paraId="4C7CED48">
      <w:pPr>
        <w:pStyle w:val="4"/>
        <w:numPr>
          <w:ilvl w:val="4"/>
          <w:numId w:val="25"/>
        </w:numPr>
        <w:tabs>
          <w:tab w:val="left" w:pos="567"/>
          <w:tab w:val="left" w:pos="1134"/>
          <w:tab w:val="left" w:pos="1276"/>
        </w:tabs>
        <w:adjustRightInd w:val="0"/>
        <w:snapToGrid w:val="0"/>
        <w:spacing w:before="60" w:after="60" w:line="360" w:lineRule="auto"/>
        <w:ind w:left="0" w:firstLine="480" w:firstLineChars="200"/>
        <w:textAlignment w:val="baseline"/>
        <w:rPr>
          <w:rFonts w:ascii="宋体" w:hAnsi="宋体"/>
          <w:sz w:val="24"/>
          <w:szCs w:val="24"/>
        </w:rPr>
      </w:pPr>
      <w:r>
        <w:rPr>
          <w:rFonts w:hint="eastAsia" w:ascii="宋体" w:hAnsi="宋体"/>
          <w:sz w:val="24"/>
          <w:szCs w:val="24"/>
        </w:rPr>
        <w:t>和县飞雁与和县交通运输局签订的特许经营协议已经到期，截止评估基准日尚未续签，提请本评估报告使用人对此应特别关注。</w:t>
      </w:r>
    </w:p>
    <w:p w14:paraId="5E7B129C">
      <w:pPr>
        <w:pStyle w:val="4"/>
        <w:numPr>
          <w:ilvl w:val="4"/>
          <w:numId w:val="25"/>
        </w:numPr>
        <w:tabs>
          <w:tab w:val="left" w:pos="567"/>
          <w:tab w:val="left" w:pos="1134"/>
          <w:tab w:val="left" w:pos="1276"/>
        </w:tabs>
        <w:adjustRightInd w:val="0"/>
        <w:snapToGrid w:val="0"/>
        <w:spacing w:before="60" w:after="60" w:line="360" w:lineRule="auto"/>
        <w:ind w:left="0" w:firstLine="480" w:firstLineChars="200"/>
        <w:textAlignment w:val="baseline"/>
        <w:rPr>
          <w:rFonts w:hint="eastAsia" w:ascii="宋体" w:hAnsi="宋体"/>
          <w:sz w:val="24"/>
          <w:szCs w:val="24"/>
        </w:rPr>
      </w:pPr>
      <w:r>
        <w:rPr>
          <w:rFonts w:hint="eastAsia" w:ascii="宋体" w:hAnsi="宋体"/>
          <w:sz w:val="24"/>
          <w:szCs w:val="24"/>
        </w:rPr>
        <w:t>本报告所称</w:t>
      </w:r>
      <w:r>
        <w:rPr>
          <w:rFonts w:ascii="宋体" w:hAnsi="宋体"/>
          <w:sz w:val="24"/>
          <w:szCs w:val="24"/>
        </w:rPr>
        <w:t>“</w:t>
      </w:r>
      <w:r>
        <w:rPr>
          <w:rFonts w:hint="eastAsia" w:ascii="宋体" w:hAnsi="宋体"/>
          <w:sz w:val="24"/>
          <w:szCs w:val="24"/>
        </w:rPr>
        <w:t>评估价值</w:t>
      </w:r>
      <w:r>
        <w:rPr>
          <w:rFonts w:ascii="宋体" w:hAnsi="宋体"/>
          <w:sz w:val="24"/>
          <w:szCs w:val="24"/>
        </w:rPr>
        <w:t>”</w:t>
      </w:r>
      <w:r>
        <w:rPr>
          <w:rFonts w:hint="eastAsia" w:ascii="宋体" w:hAnsi="宋体"/>
          <w:sz w:val="24"/>
          <w:szCs w:val="24"/>
        </w:rPr>
        <w:t>系指我们对所评估资产在现有用途不变并持续经营，以及在评估基准日之状况和外部经济环境前提下，为本报告书所列明的目的而提出的公允估值意见，而不对其它用途负责。</w:t>
      </w:r>
    </w:p>
    <w:p w14:paraId="3285DBD1">
      <w:pPr>
        <w:pStyle w:val="4"/>
        <w:numPr>
          <w:ilvl w:val="4"/>
          <w:numId w:val="25"/>
        </w:numPr>
        <w:tabs>
          <w:tab w:val="left" w:pos="567"/>
          <w:tab w:val="left" w:pos="1134"/>
          <w:tab w:val="left" w:pos="1276"/>
        </w:tabs>
        <w:adjustRightInd w:val="0"/>
        <w:snapToGrid w:val="0"/>
        <w:spacing w:before="60" w:after="60" w:line="360" w:lineRule="auto"/>
        <w:ind w:left="0" w:firstLine="480" w:firstLineChars="200"/>
        <w:textAlignment w:val="baseline"/>
        <w:rPr>
          <w:rFonts w:hint="eastAsia" w:ascii="宋体" w:hAnsi="宋体"/>
          <w:sz w:val="24"/>
          <w:szCs w:val="24"/>
        </w:rPr>
      </w:pPr>
      <w:r>
        <w:rPr>
          <w:rFonts w:hint="eastAsia" w:ascii="宋体" w:hAnsi="宋体"/>
          <w:sz w:val="24"/>
          <w:szCs w:val="24"/>
        </w:rPr>
        <w:t>报告中的评估结论是反映评估对象在本次评估目的下，根据公开市场的原则确定的公允价值，未考虑该等资产进行产权登记或权属变更过程中应承担的相关费用和税项，也未对资产评估增值额作任何纳税调整准备。评估结论不应当被认为是对评估对象可实现价格的保证。</w:t>
      </w:r>
    </w:p>
    <w:p w14:paraId="544E9F0A">
      <w:pPr>
        <w:pStyle w:val="4"/>
        <w:numPr>
          <w:ilvl w:val="4"/>
          <w:numId w:val="25"/>
        </w:numPr>
        <w:tabs>
          <w:tab w:val="left" w:pos="567"/>
          <w:tab w:val="left" w:pos="1134"/>
          <w:tab w:val="left" w:pos="1276"/>
        </w:tabs>
        <w:adjustRightInd w:val="0"/>
        <w:snapToGrid w:val="0"/>
        <w:spacing w:before="60" w:after="60" w:line="360" w:lineRule="auto"/>
        <w:ind w:left="0" w:firstLine="480" w:firstLineChars="200"/>
        <w:textAlignment w:val="baseline"/>
        <w:rPr>
          <w:rFonts w:hint="eastAsia" w:ascii="宋体" w:hAnsi="宋体"/>
          <w:sz w:val="24"/>
          <w:szCs w:val="24"/>
        </w:rPr>
      </w:pPr>
      <w:r>
        <w:rPr>
          <w:rFonts w:hint="eastAsia" w:ascii="宋体" w:hAnsi="宋体"/>
          <w:sz w:val="24"/>
          <w:szCs w:val="24"/>
        </w:rPr>
        <w:t>本次评估结论未考虑由于控股权和少数股权等因素产生的溢价或折价，也未考虑委估股权流动性对评估结论的影响。</w:t>
      </w:r>
    </w:p>
    <w:p w14:paraId="673832B9">
      <w:pPr>
        <w:pStyle w:val="4"/>
        <w:numPr>
          <w:ilvl w:val="4"/>
          <w:numId w:val="25"/>
        </w:numPr>
        <w:tabs>
          <w:tab w:val="left" w:pos="567"/>
          <w:tab w:val="left" w:pos="1134"/>
          <w:tab w:val="left" w:pos="1276"/>
        </w:tabs>
        <w:adjustRightInd w:val="0"/>
        <w:snapToGrid w:val="0"/>
        <w:spacing w:before="60" w:after="60" w:line="360" w:lineRule="auto"/>
        <w:ind w:left="0" w:firstLine="480" w:firstLineChars="200"/>
        <w:textAlignment w:val="baseline"/>
        <w:rPr>
          <w:rFonts w:hint="eastAsia" w:ascii="宋体" w:hAnsi="宋体"/>
          <w:sz w:val="24"/>
          <w:szCs w:val="24"/>
        </w:rPr>
      </w:pPr>
      <w:r>
        <w:rPr>
          <w:rFonts w:hint="eastAsia" w:ascii="宋体" w:hAnsi="宋体"/>
          <w:sz w:val="24"/>
          <w:szCs w:val="24"/>
        </w:rPr>
        <w:t>在资产评估结论有效使用期内，如果资产数量及作价标准发生变化时，应当进行适当调整，而不能直接使用评估结论。</w:t>
      </w:r>
    </w:p>
    <w:p w14:paraId="71FED937">
      <w:pPr>
        <w:pStyle w:val="4"/>
        <w:numPr>
          <w:ilvl w:val="4"/>
          <w:numId w:val="25"/>
        </w:numPr>
        <w:tabs>
          <w:tab w:val="left" w:pos="567"/>
          <w:tab w:val="left" w:pos="1134"/>
          <w:tab w:val="left" w:pos="1276"/>
        </w:tabs>
        <w:adjustRightInd w:val="0"/>
        <w:snapToGrid w:val="0"/>
        <w:spacing w:before="60" w:after="60" w:line="360" w:lineRule="auto"/>
        <w:ind w:left="0" w:firstLine="480" w:firstLineChars="200"/>
        <w:textAlignment w:val="baseline"/>
        <w:rPr>
          <w:rFonts w:hint="eastAsia" w:ascii="宋体" w:hAnsi="宋体"/>
          <w:sz w:val="24"/>
          <w:szCs w:val="24"/>
        </w:rPr>
      </w:pPr>
      <w:r>
        <w:rPr>
          <w:rFonts w:hint="eastAsia" w:ascii="宋体" w:hAnsi="宋体"/>
          <w:sz w:val="24"/>
          <w:szCs w:val="24"/>
        </w:rPr>
        <w:t>引用其他机构出具的报告结论的情况：</w:t>
      </w:r>
    </w:p>
    <w:p w14:paraId="58E01667">
      <w:pPr>
        <w:pStyle w:val="4"/>
        <w:snapToGrid w:val="0"/>
        <w:spacing w:line="360" w:lineRule="auto"/>
        <w:ind w:firstLine="480" w:firstLineChars="200"/>
        <w:rPr>
          <w:rFonts w:hint="eastAsia" w:ascii="宋体" w:hAnsi="宋体"/>
          <w:sz w:val="24"/>
          <w:szCs w:val="24"/>
        </w:rPr>
      </w:pPr>
      <w:r>
        <w:rPr>
          <w:rFonts w:hint="eastAsia" w:ascii="宋体" w:hAnsi="宋体"/>
          <w:sz w:val="24"/>
          <w:szCs w:val="24"/>
        </w:rPr>
        <w:t>本次评估引用了马鞍山滨江会计师事务所（普通合伙）出具的审计报告结论数据作为本次评估账面值。</w:t>
      </w:r>
    </w:p>
    <w:p w14:paraId="27C85E56">
      <w:pPr>
        <w:pStyle w:val="4"/>
        <w:numPr>
          <w:ilvl w:val="4"/>
          <w:numId w:val="25"/>
        </w:numPr>
        <w:tabs>
          <w:tab w:val="left" w:pos="567"/>
          <w:tab w:val="left" w:pos="1134"/>
          <w:tab w:val="left" w:pos="1276"/>
        </w:tabs>
        <w:adjustRightInd w:val="0"/>
        <w:snapToGrid w:val="0"/>
        <w:spacing w:before="60" w:after="60" w:line="360" w:lineRule="auto"/>
        <w:ind w:left="0" w:firstLine="480" w:firstLineChars="200"/>
        <w:textAlignment w:val="baseline"/>
        <w:rPr>
          <w:rFonts w:hint="eastAsia" w:ascii="宋体" w:hAnsi="宋体"/>
          <w:sz w:val="24"/>
          <w:szCs w:val="24"/>
        </w:rPr>
      </w:pPr>
      <w:r>
        <w:rPr>
          <w:rFonts w:hint="eastAsia" w:ascii="宋体" w:hAnsi="宋体"/>
          <w:sz w:val="24"/>
          <w:szCs w:val="24"/>
        </w:rPr>
        <w:t>重要的利用专家工作及相关报告情况：</w:t>
      </w:r>
    </w:p>
    <w:p w14:paraId="4CD7D8D1">
      <w:pPr>
        <w:pStyle w:val="4"/>
        <w:tabs>
          <w:tab w:val="left" w:pos="567"/>
          <w:tab w:val="left" w:pos="1134"/>
          <w:tab w:val="left" w:pos="1276"/>
        </w:tabs>
        <w:snapToGrid w:val="0"/>
        <w:spacing w:line="360" w:lineRule="auto"/>
        <w:ind w:firstLine="480" w:firstLineChars="200"/>
        <w:rPr>
          <w:rFonts w:hint="eastAsia" w:ascii="宋体" w:hAnsi="宋体"/>
          <w:sz w:val="24"/>
          <w:szCs w:val="24"/>
        </w:rPr>
      </w:pPr>
      <w:r>
        <w:rPr>
          <w:rFonts w:hint="eastAsia" w:ascii="宋体" w:hAnsi="宋体"/>
          <w:sz w:val="24"/>
          <w:szCs w:val="24"/>
        </w:rPr>
        <w:t>本次评估未利用专家工作。</w:t>
      </w:r>
    </w:p>
    <w:p w14:paraId="0FA5A006">
      <w:pPr>
        <w:pStyle w:val="4"/>
        <w:numPr>
          <w:ilvl w:val="4"/>
          <w:numId w:val="25"/>
        </w:numPr>
        <w:tabs>
          <w:tab w:val="left" w:pos="567"/>
          <w:tab w:val="left" w:pos="1134"/>
          <w:tab w:val="left" w:pos="1276"/>
        </w:tabs>
        <w:adjustRightInd w:val="0"/>
        <w:snapToGrid w:val="0"/>
        <w:spacing w:before="60" w:after="60" w:line="360" w:lineRule="auto"/>
        <w:ind w:left="0" w:firstLine="480" w:firstLineChars="200"/>
        <w:textAlignment w:val="baseline"/>
        <w:rPr>
          <w:rFonts w:hint="eastAsia" w:ascii="宋体" w:hAnsi="宋体"/>
          <w:sz w:val="24"/>
          <w:szCs w:val="24"/>
        </w:rPr>
      </w:pPr>
      <w:r>
        <w:rPr>
          <w:rFonts w:hint="eastAsia" w:ascii="宋体" w:hAnsi="宋体"/>
          <w:sz w:val="24"/>
          <w:szCs w:val="24"/>
        </w:rPr>
        <w:t>权属资料不全面或者存在瑕疵的情形：</w:t>
      </w:r>
    </w:p>
    <w:p w14:paraId="5FF8AE57">
      <w:pPr>
        <w:pStyle w:val="4"/>
        <w:snapToGrid w:val="0"/>
        <w:spacing w:line="360" w:lineRule="auto"/>
        <w:ind w:firstLine="480" w:firstLineChars="200"/>
        <w:rPr>
          <w:rFonts w:hint="eastAsia" w:ascii="宋体" w:hAnsi="宋体"/>
          <w:sz w:val="24"/>
          <w:szCs w:val="24"/>
        </w:rPr>
      </w:pPr>
      <w:r>
        <w:rPr>
          <w:rFonts w:hint="eastAsia" w:ascii="宋体" w:hAnsi="宋体"/>
          <w:sz w:val="24"/>
          <w:szCs w:val="24"/>
        </w:rPr>
        <w:t>本次资产评估，未发现存有权属资料不全面或者瑕疵事项。</w:t>
      </w:r>
    </w:p>
    <w:p w14:paraId="6245273B">
      <w:pPr>
        <w:pStyle w:val="4"/>
        <w:numPr>
          <w:ilvl w:val="4"/>
          <w:numId w:val="25"/>
        </w:numPr>
        <w:tabs>
          <w:tab w:val="left" w:pos="567"/>
          <w:tab w:val="left" w:pos="1134"/>
          <w:tab w:val="left" w:pos="1276"/>
        </w:tabs>
        <w:adjustRightInd w:val="0"/>
        <w:snapToGrid w:val="0"/>
        <w:spacing w:before="60" w:after="60" w:line="360" w:lineRule="auto"/>
        <w:ind w:left="0" w:firstLine="480" w:firstLineChars="200"/>
        <w:textAlignment w:val="baseline"/>
        <w:rPr>
          <w:rFonts w:hint="eastAsia" w:ascii="宋体" w:hAnsi="宋体"/>
          <w:sz w:val="24"/>
          <w:szCs w:val="24"/>
        </w:rPr>
      </w:pPr>
      <w:r>
        <w:rPr>
          <w:rFonts w:hint="eastAsia" w:ascii="宋体" w:hAnsi="宋体"/>
          <w:sz w:val="24"/>
          <w:szCs w:val="24"/>
        </w:rPr>
        <w:t>评估程序受到限制事项</w:t>
      </w:r>
    </w:p>
    <w:p w14:paraId="11FEE44B">
      <w:pPr>
        <w:pStyle w:val="4"/>
        <w:snapToGrid w:val="0"/>
        <w:spacing w:line="360" w:lineRule="auto"/>
        <w:ind w:left="480" w:firstLine="0"/>
        <w:rPr>
          <w:rFonts w:hint="eastAsia" w:ascii="宋体" w:hAnsi="宋体"/>
          <w:sz w:val="24"/>
          <w:szCs w:val="24"/>
        </w:rPr>
      </w:pPr>
      <w:r>
        <w:rPr>
          <w:rFonts w:hint="eastAsia" w:ascii="宋体" w:hAnsi="宋体"/>
          <w:sz w:val="24"/>
          <w:szCs w:val="24"/>
        </w:rPr>
        <w:t>本次资产评估，未发生评估程序受到限制事项。</w:t>
      </w:r>
    </w:p>
    <w:p w14:paraId="7A88CD43">
      <w:pPr>
        <w:pStyle w:val="4"/>
        <w:numPr>
          <w:ilvl w:val="4"/>
          <w:numId w:val="25"/>
        </w:numPr>
        <w:tabs>
          <w:tab w:val="left" w:pos="567"/>
          <w:tab w:val="left" w:pos="1134"/>
          <w:tab w:val="left" w:pos="1276"/>
        </w:tabs>
        <w:adjustRightInd w:val="0"/>
        <w:snapToGrid w:val="0"/>
        <w:spacing w:before="60" w:after="60" w:line="360" w:lineRule="auto"/>
        <w:ind w:left="0" w:firstLine="480" w:firstLineChars="200"/>
        <w:textAlignment w:val="baseline"/>
        <w:rPr>
          <w:rFonts w:hint="eastAsia" w:ascii="宋体" w:hAnsi="宋体"/>
          <w:sz w:val="24"/>
          <w:szCs w:val="24"/>
        </w:rPr>
      </w:pPr>
      <w:r>
        <w:rPr>
          <w:rFonts w:hint="eastAsia" w:ascii="宋体" w:hAnsi="宋体"/>
          <w:sz w:val="24"/>
          <w:szCs w:val="24"/>
        </w:rPr>
        <w:t>评估资料不完整的情形</w:t>
      </w:r>
    </w:p>
    <w:p w14:paraId="6D377022">
      <w:pPr>
        <w:pStyle w:val="4"/>
        <w:snapToGrid w:val="0"/>
        <w:spacing w:line="360" w:lineRule="auto"/>
        <w:rPr>
          <w:rFonts w:hint="eastAsia" w:ascii="宋体" w:hAnsi="宋体"/>
          <w:sz w:val="24"/>
          <w:szCs w:val="24"/>
        </w:rPr>
      </w:pPr>
      <w:r>
        <w:rPr>
          <w:rFonts w:hint="eastAsia" w:ascii="宋体" w:hAnsi="宋体"/>
          <w:sz w:val="24"/>
          <w:szCs w:val="24"/>
        </w:rPr>
        <w:t>本次资产评估，未发现其他评估资料不完整事项。</w:t>
      </w:r>
    </w:p>
    <w:p w14:paraId="02D5BEAB">
      <w:pPr>
        <w:pStyle w:val="4"/>
        <w:numPr>
          <w:ilvl w:val="4"/>
          <w:numId w:val="25"/>
        </w:numPr>
        <w:tabs>
          <w:tab w:val="left" w:pos="567"/>
          <w:tab w:val="left" w:pos="1134"/>
          <w:tab w:val="left" w:pos="1276"/>
        </w:tabs>
        <w:adjustRightInd w:val="0"/>
        <w:snapToGrid w:val="0"/>
        <w:spacing w:before="60" w:after="60" w:line="360" w:lineRule="auto"/>
        <w:ind w:left="0" w:firstLine="480" w:firstLineChars="200"/>
        <w:textAlignment w:val="baseline"/>
        <w:rPr>
          <w:rFonts w:hint="eastAsia" w:ascii="宋体" w:hAnsi="宋体"/>
          <w:sz w:val="24"/>
          <w:szCs w:val="24"/>
        </w:rPr>
      </w:pPr>
      <w:r>
        <w:rPr>
          <w:rFonts w:hint="eastAsia" w:ascii="宋体" w:hAnsi="宋体"/>
          <w:sz w:val="24"/>
          <w:szCs w:val="24"/>
        </w:rPr>
        <w:t>评估基准日存在的法律、经济等未决事项</w:t>
      </w:r>
    </w:p>
    <w:p w14:paraId="5D005267">
      <w:pPr>
        <w:pStyle w:val="4"/>
        <w:snapToGrid w:val="0"/>
        <w:spacing w:line="360" w:lineRule="auto"/>
        <w:rPr>
          <w:rFonts w:hint="eastAsia" w:ascii="宋体" w:hAnsi="宋体"/>
          <w:sz w:val="24"/>
          <w:szCs w:val="24"/>
        </w:rPr>
      </w:pPr>
      <w:r>
        <w:rPr>
          <w:rFonts w:hint="eastAsia" w:ascii="宋体" w:hAnsi="宋体"/>
          <w:sz w:val="24"/>
          <w:szCs w:val="24"/>
        </w:rPr>
        <w:t>本次资产评估，未发现评估基准日存有法律、经济等未决事项。</w:t>
      </w:r>
    </w:p>
    <w:p w14:paraId="706620AB">
      <w:pPr>
        <w:pStyle w:val="4"/>
        <w:numPr>
          <w:ilvl w:val="4"/>
          <w:numId w:val="25"/>
        </w:numPr>
        <w:tabs>
          <w:tab w:val="left" w:pos="567"/>
          <w:tab w:val="left" w:pos="1134"/>
          <w:tab w:val="left" w:pos="1276"/>
        </w:tabs>
        <w:adjustRightInd w:val="0"/>
        <w:snapToGrid w:val="0"/>
        <w:spacing w:before="60" w:after="60" w:line="360" w:lineRule="auto"/>
        <w:ind w:left="0" w:firstLine="480" w:firstLineChars="200"/>
        <w:textAlignment w:val="baseline"/>
        <w:rPr>
          <w:rFonts w:hint="eastAsia" w:ascii="宋体" w:hAnsi="宋体"/>
          <w:sz w:val="24"/>
          <w:szCs w:val="24"/>
        </w:rPr>
      </w:pPr>
      <w:r>
        <w:rPr>
          <w:rFonts w:hint="eastAsia" w:ascii="宋体" w:hAnsi="宋体"/>
          <w:sz w:val="24"/>
          <w:szCs w:val="24"/>
        </w:rPr>
        <w:t>担保、租赁及其或有负债（或有资产）等事项的性质、金额及与评估对象的关系</w:t>
      </w:r>
    </w:p>
    <w:p w14:paraId="19003C81">
      <w:pPr>
        <w:pStyle w:val="4"/>
        <w:snapToGrid w:val="0"/>
        <w:spacing w:line="360" w:lineRule="auto"/>
        <w:ind w:firstLine="480" w:firstLineChars="200"/>
        <w:rPr>
          <w:rFonts w:hint="eastAsia" w:ascii="宋体" w:hAnsi="宋体"/>
          <w:sz w:val="24"/>
          <w:szCs w:val="24"/>
        </w:rPr>
      </w:pPr>
      <w:r>
        <w:rPr>
          <w:rFonts w:hint="eastAsia" w:ascii="宋体" w:hAnsi="宋体"/>
          <w:sz w:val="24"/>
          <w:szCs w:val="24"/>
        </w:rPr>
        <w:t>本次资产评估，未发现评估基准日存有抵押、担保及或有负债（或有资产）等事项。</w:t>
      </w:r>
    </w:p>
    <w:p w14:paraId="391DE86C">
      <w:pPr>
        <w:pStyle w:val="4"/>
        <w:numPr>
          <w:ilvl w:val="4"/>
          <w:numId w:val="25"/>
        </w:numPr>
        <w:tabs>
          <w:tab w:val="left" w:pos="567"/>
          <w:tab w:val="left" w:pos="1134"/>
          <w:tab w:val="left" w:pos="1276"/>
        </w:tabs>
        <w:adjustRightInd w:val="0"/>
        <w:snapToGrid w:val="0"/>
        <w:spacing w:before="60" w:after="60" w:line="360" w:lineRule="auto"/>
        <w:ind w:left="0" w:firstLine="480" w:firstLineChars="200"/>
        <w:textAlignment w:val="baseline"/>
        <w:rPr>
          <w:rFonts w:hint="eastAsia" w:ascii="宋体" w:hAnsi="宋体"/>
          <w:sz w:val="24"/>
          <w:szCs w:val="24"/>
        </w:rPr>
      </w:pPr>
      <w:r>
        <w:rPr>
          <w:rFonts w:hint="eastAsia" w:ascii="宋体" w:hAnsi="宋体"/>
          <w:sz w:val="24"/>
          <w:szCs w:val="24"/>
        </w:rPr>
        <w:t>评估基准日至评估报告日之间可能对评估结论产生影响的期后事项</w:t>
      </w:r>
    </w:p>
    <w:p w14:paraId="4B6A3C9E">
      <w:pPr>
        <w:pStyle w:val="4"/>
        <w:snapToGrid w:val="0"/>
        <w:spacing w:line="360" w:lineRule="auto"/>
        <w:ind w:firstLine="480" w:firstLineChars="200"/>
        <w:rPr>
          <w:rFonts w:hint="eastAsia" w:ascii="宋体" w:hAnsi="宋体"/>
          <w:sz w:val="24"/>
          <w:szCs w:val="24"/>
        </w:rPr>
      </w:pPr>
      <w:r>
        <w:rPr>
          <w:rFonts w:hint="eastAsia" w:ascii="宋体" w:hAnsi="宋体"/>
          <w:sz w:val="24"/>
          <w:szCs w:val="24"/>
        </w:rPr>
        <w:t>自评估基准日至评估报告出具日，不存在其他影响评估前提和评估结论而需要对评估结论进行调整的重大事项。</w:t>
      </w:r>
    </w:p>
    <w:p w14:paraId="45A45AE1">
      <w:pPr>
        <w:pStyle w:val="4"/>
        <w:numPr>
          <w:ilvl w:val="4"/>
          <w:numId w:val="25"/>
        </w:numPr>
        <w:tabs>
          <w:tab w:val="left" w:pos="567"/>
          <w:tab w:val="left" w:pos="1134"/>
          <w:tab w:val="left" w:pos="1276"/>
        </w:tabs>
        <w:adjustRightInd w:val="0"/>
        <w:snapToGrid w:val="0"/>
        <w:spacing w:before="60" w:after="60" w:line="360" w:lineRule="auto"/>
        <w:ind w:left="0" w:firstLine="480" w:firstLineChars="200"/>
        <w:textAlignment w:val="baseline"/>
        <w:rPr>
          <w:rFonts w:hint="eastAsia" w:ascii="宋体" w:hAnsi="宋体"/>
          <w:sz w:val="24"/>
          <w:szCs w:val="24"/>
        </w:rPr>
      </w:pPr>
      <w:r>
        <w:rPr>
          <w:rFonts w:hint="eastAsia" w:ascii="宋体" w:hAnsi="宋体"/>
          <w:sz w:val="24"/>
          <w:szCs w:val="24"/>
        </w:rPr>
        <w:t>本次资产评估对应的经济行为中，可能对评估结论产生重大影响的瑕疵情形</w:t>
      </w:r>
    </w:p>
    <w:p w14:paraId="4D3F4FA4">
      <w:pPr>
        <w:pStyle w:val="4"/>
        <w:snapToGrid w:val="0"/>
        <w:spacing w:line="360" w:lineRule="auto"/>
        <w:ind w:firstLine="480" w:firstLineChars="200"/>
        <w:rPr>
          <w:rFonts w:hint="eastAsia" w:ascii="宋体" w:hAnsi="宋体"/>
          <w:sz w:val="24"/>
          <w:szCs w:val="24"/>
        </w:rPr>
      </w:pPr>
      <w:r>
        <w:rPr>
          <w:rFonts w:hint="eastAsia" w:ascii="宋体" w:hAnsi="宋体"/>
          <w:sz w:val="24"/>
          <w:szCs w:val="24"/>
        </w:rPr>
        <w:t>本次资产评估，未发现对应的经济行为对评估结论产生重大影响的情形。</w:t>
      </w:r>
    </w:p>
    <w:p w14:paraId="10DF219F">
      <w:pPr>
        <w:pStyle w:val="4"/>
        <w:snapToGrid w:val="0"/>
        <w:spacing w:line="360" w:lineRule="auto"/>
        <w:ind w:firstLine="480" w:firstLineChars="200"/>
        <w:rPr>
          <w:rFonts w:hint="eastAsia" w:ascii="宋体" w:hAnsi="宋体"/>
          <w:sz w:val="24"/>
          <w:szCs w:val="24"/>
        </w:rPr>
      </w:pPr>
      <w:r>
        <w:rPr>
          <w:rFonts w:hint="eastAsia" w:ascii="宋体" w:hAnsi="宋体"/>
          <w:sz w:val="24"/>
          <w:szCs w:val="24"/>
        </w:rPr>
        <w:t>（十四）其他需要说明的事项</w:t>
      </w:r>
    </w:p>
    <w:p w14:paraId="5B197879">
      <w:pPr>
        <w:pStyle w:val="4"/>
        <w:snapToGrid w:val="0"/>
        <w:spacing w:line="360" w:lineRule="auto"/>
        <w:ind w:firstLine="480" w:firstLineChars="200"/>
        <w:rPr>
          <w:rFonts w:hint="eastAsia" w:ascii="宋体" w:hAnsi="宋体"/>
          <w:sz w:val="24"/>
          <w:szCs w:val="24"/>
        </w:rPr>
      </w:pPr>
      <w:r>
        <w:rPr>
          <w:rFonts w:hint="eastAsia" w:ascii="宋体" w:hAnsi="宋体"/>
          <w:sz w:val="24"/>
          <w:szCs w:val="24"/>
        </w:rPr>
        <w:t>1、本评估报告是在根据委托方及相关当事方提供基础数据、文件资料的基础上编制的。提供的经济行为文件、会计资料、产权证明文件以及相关资料，并保证所提供的数据资料的真实性、完整性和合法性是委托方及相关当事方的责任。资产评估师的责任是对评估对象在评估基准日特定目的下的价值进行分析、估算并发表专业意见。</w:t>
      </w:r>
    </w:p>
    <w:p w14:paraId="7B2F9E22">
      <w:pPr>
        <w:pStyle w:val="4"/>
        <w:snapToGrid w:val="0"/>
        <w:spacing w:line="360" w:lineRule="auto"/>
        <w:ind w:firstLine="480" w:firstLineChars="200"/>
        <w:rPr>
          <w:rFonts w:hint="eastAsia" w:ascii="宋体" w:hAnsi="宋体"/>
          <w:sz w:val="24"/>
          <w:szCs w:val="24"/>
        </w:rPr>
      </w:pPr>
      <w:r>
        <w:rPr>
          <w:rFonts w:hint="eastAsia" w:ascii="宋体" w:hAnsi="宋体"/>
          <w:sz w:val="24"/>
          <w:szCs w:val="24"/>
        </w:rPr>
        <w:t>2、本评估报告所称评估值系我们对所评估资产依据上述假设以及在评估基准日之状况和外部经济环境前提下为本评估报告列明的目的而提出的公允价值意见，仅为本评估目的使用，不可作为其他用途的依据。</w:t>
      </w:r>
    </w:p>
    <w:p w14:paraId="6CD278EF">
      <w:pPr>
        <w:pStyle w:val="4"/>
        <w:snapToGrid w:val="0"/>
        <w:spacing w:line="360" w:lineRule="auto"/>
        <w:ind w:firstLine="480" w:firstLineChars="200"/>
        <w:rPr>
          <w:rFonts w:hint="eastAsia" w:ascii="宋体" w:hAnsi="宋体"/>
          <w:sz w:val="24"/>
          <w:szCs w:val="24"/>
        </w:rPr>
      </w:pPr>
      <w:r>
        <w:rPr>
          <w:rFonts w:hint="eastAsia" w:ascii="宋体" w:hAnsi="宋体"/>
          <w:sz w:val="24"/>
          <w:szCs w:val="24"/>
        </w:rPr>
        <w:t>3、对被评估单位存在的可能影响资产评估值的瑕疵事项及期后事项，在委托人和相关当事方委托时未作特殊说明而资产评估专业人员根据专业经验一般不能获悉的情况下，本资产评估机构及签名资产评估师不承担相关责任。</w:t>
      </w:r>
    </w:p>
    <w:p w14:paraId="617648F5">
      <w:pPr>
        <w:pStyle w:val="4"/>
        <w:snapToGrid w:val="0"/>
        <w:spacing w:line="360" w:lineRule="auto"/>
        <w:ind w:firstLine="480" w:firstLineChars="200"/>
        <w:rPr>
          <w:rFonts w:hint="eastAsia" w:ascii="宋体" w:hAnsi="宋体"/>
          <w:sz w:val="24"/>
          <w:szCs w:val="24"/>
        </w:rPr>
      </w:pPr>
      <w:r>
        <w:rPr>
          <w:rFonts w:hint="eastAsia" w:ascii="宋体" w:hAnsi="宋体"/>
          <w:sz w:val="24"/>
          <w:szCs w:val="24"/>
        </w:rPr>
        <w:t>4、本项目的资产评估师知晓资产的控股权因素及流动性对评估对象价值可能产生重大影响。由于无法获取行业及相关资产产权交易情况资料，缺乏对资产控股权因素及流动性的分析依据，本次评估中没有考虑资产的控股权因素及流动性对估价对象价值的影响。</w:t>
      </w:r>
    </w:p>
    <w:p w14:paraId="11D9BAA5">
      <w:pPr>
        <w:pStyle w:val="4"/>
        <w:snapToGrid w:val="0"/>
        <w:spacing w:line="360" w:lineRule="auto"/>
        <w:ind w:firstLine="480" w:firstLineChars="200"/>
        <w:rPr>
          <w:rFonts w:hint="eastAsia" w:ascii="宋体" w:hAnsi="宋体"/>
          <w:sz w:val="24"/>
          <w:szCs w:val="24"/>
        </w:rPr>
      </w:pPr>
      <w:r>
        <w:rPr>
          <w:rFonts w:hint="eastAsia" w:ascii="宋体" w:hAnsi="宋体"/>
          <w:sz w:val="24"/>
          <w:szCs w:val="24"/>
        </w:rPr>
        <w:t>5、本次评估结论建立在评估对象产权持有者及管理层对企业未来发展趋势的准确判断及相关规划落实，如企业未来实际经营状况与经营规划发生偏差，且产权持有者及时任管理层未采取相应有效措施弥补偏差，则评估结论将会发生重大变化。特别提醒报告使用者对此予以关注。</w:t>
      </w:r>
    </w:p>
    <w:p w14:paraId="68DA0509">
      <w:pPr>
        <w:pStyle w:val="4"/>
        <w:snapToGrid w:val="0"/>
        <w:spacing w:line="360" w:lineRule="auto"/>
        <w:ind w:firstLine="480" w:firstLineChars="200"/>
        <w:rPr>
          <w:rFonts w:hint="eastAsia" w:ascii="宋体" w:hAnsi="宋体"/>
          <w:sz w:val="24"/>
          <w:szCs w:val="24"/>
        </w:rPr>
      </w:pPr>
      <w:r>
        <w:rPr>
          <w:rFonts w:ascii="宋体" w:hAnsi="宋体"/>
          <w:sz w:val="24"/>
          <w:szCs w:val="24"/>
        </w:rPr>
        <w:t>6</w:t>
      </w:r>
      <w:r>
        <w:rPr>
          <w:rFonts w:hint="eastAsia" w:ascii="宋体" w:hAnsi="宋体"/>
          <w:sz w:val="24"/>
          <w:szCs w:val="24"/>
        </w:rPr>
        <w:t>、评估机构获得的被评估单位盈利预测是本评估报告收益法的基础。评估师对被评估单位盈利预测进行了必要的调查、分析、判断，经过与被评估单位管理层及其主要股东多次讨论，被评估单位进一步修正、完善后，评估机构采信了被评估单位盈利预测的相关数据。评估机构对被评估单位盈利预测的利用，不是对被评估单位未来盈利能力的保证。</w:t>
      </w:r>
    </w:p>
    <w:p w14:paraId="0F0013D9">
      <w:pPr>
        <w:pStyle w:val="4"/>
        <w:snapToGrid w:val="0"/>
        <w:spacing w:line="360" w:lineRule="auto"/>
        <w:ind w:firstLine="480" w:firstLineChars="200"/>
        <w:rPr>
          <w:rFonts w:hint="eastAsia" w:ascii="宋体" w:hAnsi="宋体"/>
          <w:sz w:val="24"/>
          <w:szCs w:val="24"/>
        </w:rPr>
      </w:pPr>
      <w:r>
        <w:rPr>
          <w:rFonts w:ascii="宋体" w:hAnsi="宋体"/>
          <w:sz w:val="24"/>
          <w:szCs w:val="24"/>
        </w:rPr>
        <w:t>7</w:t>
      </w:r>
      <w:r>
        <w:rPr>
          <w:rFonts w:hint="eastAsia" w:ascii="宋体" w:hAnsi="宋体"/>
          <w:sz w:val="24"/>
          <w:szCs w:val="24"/>
        </w:rPr>
        <w:t>、资产评估师执行资产评估业务的目的是对评估对象价值进行估算并发表专业意见，对评估对象法律权属确认或发表意见超出资产评估师执业范围。评估人员对本次评估对象的法律权属状况给予了必要的关注，但不对其作任何形式的保证。</w:t>
      </w:r>
    </w:p>
    <w:p w14:paraId="11061CB0">
      <w:pPr>
        <w:pStyle w:val="4"/>
        <w:snapToGrid w:val="0"/>
        <w:spacing w:line="360" w:lineRule="auto"/>
        <w:ind w:firstLine="480" w:firstLineChars="200"/>
        <w:rPr>
          <w:rFonts w:hint="eastAsia" w:ascii="宋体" w:hAnsi="宋体"/>
          <w:sz w:val="24"/>
          <w:szCs w:val="24"/>
        </w:rPr>
      </w:pPr>
      <w:r>
        <w:rPr>
          <w:rFonts w:ascii="宋体" w:hAnsi="宋体"/>
          <w:sz w:val="24"/>
          <w:szCs w:val="24"/>
        </w:rPr>
        <w:t>8</w:t>
      </w:r>
      <w:r>
        <w:rPr>
          <w:rFonts w:hint="eastAsia" w:ascii="宋体" w:hAnsi="宋体"/>
          <w:sz w:val="24"/>
          <w:szCs w:val="24"/>
        </w:rPr>
        <w:t>、本评估结论是反映评估对象在本次评估目的下，根据公开市场原则所确定的市场价值，没有考虑将来可能承担的抵押、担保事宜，以及特殊的交易方可能追加付出的价格等对评估结论的影响；亦未考虑该等资产所欠付的税项，以及如果该等资产出售，则应承担的费用和税项等可能影响其价值的任何限制；我们也未对资产评估增值额作任何纳税调整准备。同时，本报告也未考虑国家宏观经济政策发生变化以及遇有自然力和其它不可抗力对资产价格的影响。</w:t>
      </w:r>
    </w:p>
    <w:p w14:paraId="32874FE6">
      <w:pPr>
        <w:pStyle w:val="4"/>
        <w:snapToGrid w:val="0"/>
        <w:spacing w:line="360" w:lineRule="auto"/>
        <w:ind w:firstLine="480" w:firstLineChars="200"/>
        <w:rPr>
          <w:rFonts w:hint="eastAsia" w:ascii="宋体" w:hAnsi="宋体"/>
          <w:sz w:val="24"/>
          <w:szCs w:val="24"/>
        </w:rPr>
      </w:pPr>
      <w:r>
        <w:rPr>
          <w:rFonts w:hint="eastAsia" w:ascii="宋体" w:hAnsi="宋体"/>
          <w:sz w:val="24"/>
          <w:szCs w:val="24"/>
        </w:rPr>
        <w:t>至本次资产评估报告提出之日，除上述事项外，本资产评估机构和签名资产评估师在本项目的评估过程中未发现，且委托人和相关当事方也没有提供有关可能影响评估结论并需要明确揭示的特别事项情况。</w:t>
      </w:r>
    </w:p>
    <w:p w14:paraId="0C10FABB">
      <w:pPr>
        <w:pStyle w:val="4"/>
        <w:snapToGrid w:val="0"/>
        <w:spacing w:line="360" w:lineRule="auto"/>
        <w:ind w:firstLine="480" w:firstLineChars="200"/>
        <w:rPr>
          <w:rFonts w:hint="eastAsia" w:ascii="宋体" w:hAnsi="宋体"/>
          <w:sz w:val="24"/>
          <w:szCs w:val="24"/>
        </w:rPr>
      </w:pPr>
      <w:r>
        <w:rPr>
          <w:rFonts w:hint="eastAsia" w:ascii="宋体" w:hAnsi="宋体"/>
          <w:sz w:val="24"/>
          <w:szCs w:val="24"/>
        </w:rPr>
        <w:t>提请报告使用者关注上述特别事项对评估结论产生的影响</w:t>
      </w:r>
    </w:p>
    <w:p w14:paraId="026F990D">
      <w:pPr>
        <w:pStyle w:val="3"/>
        <w:numPr>
          <w:ilvl w:val="0"/>
          <w:numId w:val="5"/>
        </w:numPr>
        <w:tabs>
          <w:tab w:val="left" w:pos="1134"/>
          <w:tab w:val="left" w:pos="1276"/>
          <w:tab w:val="left" w:pos="1418"/>
        </w:tabs>
        <w:spacing w:before="240" w:after="0" w:line="360" w:lineRule="auto"/>
        <w:ind w:left="0" w:firstLine="562" w:firstLineChars="200"/>
        <w:rPr>
          <w:rFonts w:ascii="Arial Narrow" w:hAnsi="Arial Narrow" w:cs="Arial Narrow"/>
          <w:sz w:val="28"/>
          <w:szCs w:val="28"/>
        </w:rPr>
      </w:pPr>
      <w:bookmarkStart w:id="113" w:name="_Toc508451376"/>
      <w:r>
        <w:rPr>
          <w:rFonts w:ascii="Arial Narrow" w:hAnsi="Arial Narrow" w:cs="Arial Narrow"/>
          <w:sz w:val="28"/>
          <w:szCs w:val="28"/>
        </w:rPr>
        <w:t>评估报告使用限制说明</w:t>
      </w:r>
      <w:bookmarkEnd w:id="111"/>
      <w:bookmarkEnd w:id="112"/>
      <w:bookmarkEnd w:id="113"/>
    </w:p>
    <w:p w14:paraId="0E4F3548">
      <w:pPr>
        <w:numPr>
          <w:ilvl w:val="0"/>
          <w:numId w:val="26"/>
        </w:numPr>
        <w:tabs>
          <w:tab w:val="left" w:pos="426"/>
          <w:tab w:val="left" w:pos="756"/>
        </w:tabs>
        <w:spacing w:line="360" w:lineRule="auto"/>
        <w:ind w:left="0" w:firstLine="480" w:firstLineChars="200"/>
        <w:rPr>
          <w:rFonts w:hint="eastAsia" w:cs="Arial Narrow" w:asciiTheme="minorEastAsia" w:hAnsiTheme="minorEastAsia" w:eastAsiaTheme="minorEastAsia"/>
          <w:sz w:val="24"/>
          <w:szCs w:val="24"/>
        </w:rPr>
      </w:pPr>
      <w:r>
        <w:rPr>
          <w:rFonts w:cs="Arial Narrow" w:asciiTheme="minorEastAsia" w:hAnsiTheme="minorEastAsia" w:eastAsiaTheme="minorEastAsia"/>
          <w:sz w:val="24"/>
          <w:szCs w:val="24"/>
        </w:rPr>
        <w:t>评估报告只能用于评估报告载明的评估目的和用途。</w:t>
      </w:r>
    </w:p>
    <w:p w14:paraId="0FBBCF6C">
      <w:pPr>
        <w:numPr>
          <w:ilvl w:val="0"/>
          <w:numId w:val="26"/>
        </w:numPr>
        <w:tabs>
          <w:tab w:val="left" w:pos="426"/>
          <w:tab w:val="left" w:pos="756"/>
        </w:tabs>
        <w:spacing w:line="360" w:lineRule="auto"/>
        <w:ind w:left="0" w:firstLine="480" w:firstLineChars="200"/>
        <w:rPr>
          <w:rFonts w:hint="eastAsia" w:cs="Arial Narrow" w:asciiTheme="minorEastAsia" w:hAnsiTheme="minorEastAsia" w:eastAsiaTheme="minorEastAsia"/>
          <w:sz w:val="24"/>
          <w:szCs w:val="24"/>
        </w:rPr>
      </w:pPr>
      <w:r>
        <w:rPr>
          <w:rFonts w:hint="eastAsia" w:cs="Arial Narrow" w:asciiTheme="minorEastAsia" w:hAnsiTheme="minorEastAsia" w:eastAsiaTheme="minorEastAsia"/>
          <w:sz w:val="24"/>
          <w:szCs w:val="24"/>
        </w:rPr>
        <w:t>委托人或者其他资产评估报告使用人未按照法律、行政法规规定和资产评估报告载明的使用范围使用资产评估报告的，资产评估机构及其资产评估专业人员不承担责任；</w:t>
      </w:r>
    </w:p>
    <w:p w14:paraId="3311188F">
      <w:pPr>
        <w:numPr>
          <w:ilvl w:val="0"/>
          <w:numId w:val="26"/>
        </w:numPr>
        <w:tabs>
          <w:tab w:val="left" w:pos="426"/>
          <w:tab w:val="left" w:pos="756"/>
        </w:tabs>
        <w:spacing w:line="360" w:lineRule="auto"/>
        <w:ind w:left="0" w:firstLine="480" w:firstLineChars="200"/>
        <w:rPr>
          <w:rFonts w:hint="eastAsia" w:cs="Arial Narrow" w:asciiTheme="minorEastAsia" w:hAnsiTheme="minorEastAsia" w:eastAsiaTheme="minorEastAsia"/>
          <w:sz w:val="24"/>
          <w:szCs w:val="24"/>
        </w:rPr>
      </w:pPr>
      <w:r>
        <w:rPr>
          <w:rFonts w:hint="eastAsia" w:cs="Arial Narrow" w:asciiTheme="minorEastAsia" w:hAnsiTheme="minorEastAsia" w:eastAsiaTheme="minorEastAsia"/>
          <w:sz w:val="24"/>
          <w:szCs w:val="24"/>
        </w:rPr>
        <w:t>除委托人、资产评估委托合同中委托的其他资产评估报告使用人和法律、行政法规规定的资产评估报告使用人之外，其他任何机构和个人不能成为资产评估报告的使用人；</w:t>
      </w:r>
    </w:p>
    <w:p w14:paraId="31E7F3E0">
      <w:pPr>
        <w:numPr>
          <w:ilvl w:val="0"/>
          <w:numId w:val="26"/>
        </w:numPr>
        <w:tabs>
          <w:tab w:val="left" w:pos="426"/>
          <w:tab w:val="left" w:pos="756"/>
        </w:tabs>
        <w:spacing w:line="360" w:lineRule="auto"/>
        <w:ind w:left="0" w:firstLine="480" w:firstLineChars="200"/>
        <w:rPr>
          <w:rFonts w:hint="eastAsia" w:cs="Arial Narrow" w:asciiTheme="minorEastAsia" w:hAnsiTheme="minorEastAsia" w:eastAsiaTheme="minorEastAsia"/>
          <w:sz w:val="24"/>
          <w:szCs w:val="24"/>
        </w:rPr>
      </w:pPr>
      <w:r>
        <w:rPr>
          <w:rFonts w:hint="eastAsia" w:cs="Arial Narrow" w:asciiTheme="minorEastAsia" w:hAnsiTheme="minorEastAsia" w:eastAsiaTheme="minorEastAsia"/>
          <w:sz w:val="24"/>
          <w:szCs w:val="24"/>
        </w:rPr>
        <w:t>资产评估报告使用人应当正确理解评估结论，评估结论不等同于评估对象可实现价格，评估结论不应当被认为是对评估对象可实现价格的保证。</w:t>
      </w:r>
    </w:p>
    <w:p w14:paraId="2A83AE9E">
      <w:pPr>
        <w:numPr>
          <w:ilvl w:val="0"/>
          <w:numId w:val="26"/>
        </w:numPr>
        <w:tabs>
          <w:tab w:val="left" w:pos="426"/>
          <w:tab w:val="left" w:pos="756"/>
        </w:tabs>
        <w:spacing w:line="360" w:lineRule="auto"/>
        <w:ind w:left="0" w:firstLine="480" w:firstLineChars="200"/>
        <w:rPr>
          <w:rFonts w:hint="eastAsia" w:cs="Arial Narrow" w:asciiTheme="minorEastAsia" w:hAnsiTheme="minorEastAsia" w:eastAsiaTheme="minorEastAsia"/>
          <w:sz w:val="24"/>
          <w:szCs w:val="24"/>
        </w:rPr>
      </w:pPr>
      <w:r>
        <w:rPr>
          <w:rFonts w:cs="Arial Narrow" w:asciiTheme="minorEastAsia" w:hAnsiTheme="minorEastAsia" w:eastAsiaTheme="minorEastAsia"/>
          <w:sz w:val="24"/>
          <w:szCs w:val="24"/>
        </w:rPr>
        <w:t>评估报告的全部或者部分内容被摘抄、引用或者披露于公开媒体，需评估机构审阅相关内容，法律、法规规定以及相关当事</w:t>
      </w:r>
      <w:r>
        <w:rPr>
          <w:rFonts w:hint="eastAsia" w:cs="Arial Narrow" w:asciiTheme="minorEastAsia" w:hAnsiTheme="minorEastAsia" w:eastAsiaTheme="minorEastAsia"/>
          <w:sz w:val="24"/>
          <w:szCs w:val="24"/>
        </w:rPr>
        <w:t>人</w:t>
      </w:r>
      <w:r>
        <w:rPr>
          <w:rFonts w:cs="Arial Narrow" w:asciiTheme="minorEastAsia" w:hAnsiTheme="minorEastAsia" w:eastAsiaTheme="minorEastAsia"/>
          <w:sz w:val="24"/>
          <w:szCs w:val="24"/>
        </w:rPr>
        <w:t>另有约定的除外。</w:t>
      </w:r>
    </w:p>
    <w:p w14:paraId="18CEBFDD">
      <w:pPr>
        <w:numPr>
          <w:ilvl w:val="0"/>
          <w:numId w:val="26"/>
        </w:numPr>
        <w:tabs>
          <w:tab w:val="left" w:pos="756"/>
        </w:tabs>
        <w:spacing w:line="360" w:lineRule="auto"/>
        <w:ind w:left="0" w:firstLine="480" w:firstLineChars="200"/>
        <w:rPr>
          <w:rFonts w:hint="eastAsia" w:cs="Arial Narrow" w:asciiTheme="minorEastAsia" w:hAnsiTheme="minorEastAsia" w:eastAsiaTheme="minorEastAsia"/>
          <w:sz w:val="24"/>
          <w:szCs w:val="24"/>
        </w:rPr>
      </w:pPr>
      <w:r>
        <w:rPr>
          <w:rFonts w:cs="Arial Narrow" w:asciiTheme="minorEastAsia" w:hAnsiTheme="minorEastAsia" w:eastAsiaTheme="minorEastAsia"/>
          <w:sz w:val="24"/>
          <w:szCs w:val="24"/>
        </w:rPr>
        <w:t>评估结论的使用有效期为一年，自评估基准日2025年</w:t>
      </w:r>
      <w:r>
        <w:rPr>
          <w:rFonts w:hint="eastAsia" w:cs="Arial Narrow" w:asciiTheme="minorEastAsia" w:hAnsiTheme="minorEastAsia" w:eastAsiaTheme="minorEastAsia"/>
          <w:sz w:val="24"/>
          <w:szCs w:val="24"/>
        </w:rPr>
        <w:t>8</w:t>
      </w:r>
      <w:r>
        <w:rPr>
          <w:rFonts w:cs="Arial Narrow" w:asciiTheme="minorEastAsia" w:hAnsiTheme="minorEastAsia" w:eastAsiaTheme="minorEastAsia"/>
          <w:sz w:val="24"/>
          <w:szCs w:val="24"/>
        </w:rPr>
        <w:t>月31日起至2026年</w:t>
      </w:r>
      <w:r>
        <w:rPr>
          <w:rFonts w:hint="eastAsia" w:cs="Arial Narrow" w:asciiTheme="minorEastAsia" w:hAnsiTheme="minorEastAsia" w:eastAsiaTheme="minorEastAsia"/>
          <w:sz w:val="24"/>
          <w:szCs w:val="24"/>
        </w:rPr>
        <w:t>8</w:t>
      </w:r>
      <w:r>
        <w:rPr>
          <w:rFonts w:cs="Arial Narrow" w:asciiTheme="minorEastAsia" w:hAnsiTheme="minorEastAsia" w:eastAsiaTheme="minorEastAsia"/>
          <w:sz w:val="24"/>
          <w:szCs w:val="24"/>
        </w:rPr>
        <w:t>月30日止。</w:t>
      </w:r>
    </w:p>
    <w:p w14:paraId="4EA33A4E">
      <w:pPr>
        <w:spacing w:line="360" w:lineRule="auto"/>
        <w:ind w:firstLine="480" w:firstLineChars="200"/>
        <w:rPr>
          <w:rFonts w:ascii="Arial Narrow" w:hAnsi="Arial Narrow" w:cs="Arial Narrow"/>
          <w:sz w:val="24"/>
          <w:szCs w:val="24"/>
        </w:rPr>
      </w:pPr>
      <w:r>
        <w:rPr>
          <w:rFonts w:ascii="Arial Narrow" w:hAnsi="Arial Narrow" w:cs="Arial Narrow"/>
          <w:sz w:val="24"/>
          <w:szCs w:val="24"/>
        </w:rPr>
        <w:t>在评估基准日后、有效期以内，如果资产数量及作价标准发生变化时，应按以下原则处理：</w:t>
      </w:r>
    </w:p>
    <w:p w14:paraId="6700A4F1">
      <w:pPr>
        <w:pStyle w:val="345"/>
        <w:numPr>
          <w:ilvl w:val="0"/>
          <w:numId w:val="27"/>
        </w:numPr>
        <w:spacing w:line="360" w:lineRule="auto"/>
        <w:ind w:left="0" w:firstLine="480"/>
        <w:rPr>
          <w:rFonts w:ascii="Arial Narrow" w:hAnsi="Arial Narrow" w:cs="Arial Narrow"/>
          <w:sz w:val="24"/>
          <w:szCs w:val="24"/>
        </w:rPr>
      </w:pPr>
      <w:r>
        <w:rPr>
          <w:rFonts w:ascii="Arial Narrow" w:hAnsi="Arial Narrow" w:cs="Arial Narrow"/>
          <w:sz w:val="24"/>
          <w:szCs w:val="24"/>
        </w:rPr>
        <w:t>当资产数量发生变化时，应根据原评估方法对资产数额进行相应调整；</w:t>
      </w:r>
    </w:p>
    <w:p w14:paraId="1EC48CE4">
      <w:pPr>
        <w:pStyle w:val="345"/>
        <w:numPr>
          <w:ilvl w:val="0"/>
          <w:numId w:val="27"/>
        </w:numPr>
        <w:spacing w:line="360" w:lineRule="auto"/>
        <w:ind w:left="0" w:firstLine="480"/>
        <w:rPr>
          <w:rFonts w:ascii="Arial Narrow" w:hAnsi="Arial Narrow" w:cs="Arial Narrow"/>
          <w:sz w:val="24"/>
          <w:szCs w:val="24"/>
        </w:rPr>
      </w:pPr>
      <w:r>
        <w:rPr>
          <w:rFonts w:ascii="Arial Narrow" w:hAnsi="Arial Narrow" w:cs="Arial Narrow"/>
          <w:sz w:val="24"/>
          <w:szCs w:val="24"/>
        </w:rPr>
        <w:t>对评估基准日后，资产数量、价格标准的变化，</w:t>
      </w:r>
      <w:r>
        <w:rPr>
          <w:rFonts w:hint="eastAsia" w:ascii="Arial Narrow" w:hAnsi="Arial Narrow" w:cs="Arial Narrow"/>
          <w:sz w:val="24"/>
          <w:szCs w:val="24"/>
        </w:rPr>
        <w:t>委托人</w:t>
      </w:r>
      <w:r>
        <w:rPr>
          <w:rFonts w:ascii="Arial Narrow" w:hAnsi="Arial Narrow" w:cs="Arial Narrow"/>
          <w:sz w:val="24"/>
          <w:szCs w:val="24"/>
        </w:rPr>
        <w:t>在资产实际作价时应给予充分考虑，进行相应调整；</w:t>
      </w:r>
    </w:p>
    <w:p w14:paraId="755DCA69">
      <w:pPr>
        <w:pStyle w:val="345"/>
        <w:numPr>
          <w:ilvl w:val="0"/>
          <w:numId w:val="27"/>
        </w:numPr>
        <w:spacing w:line="360" w:lineRule="auto"/>
        <w:ind w:left="0" w:firstLine="480"/>
        <w:rPr>
          <w:rFonts w:ascii="Arial Narrow" w:hAnsi="Arial Narrow" w:cs="Arial Narrow"/>
          <w:sz w:val="24"/>
          <w:szCs w:val="24"/>
        </w:rPr>
      </w:pPr>
      <w:r>
        <w:rPr>
          <w:rFonts w:ascii="Arial Narrow" w:hAnsi="Arial Narrow" w:cs="Arial Narrow"/>
          <w:sz w:val="24"/>
          <w:szCs w:val="24"/>
        </w:rPr>
        <w:t>当资产价格标准发生变化、且对资产评估结果产生明显影响时，</w:t>
      </w:r>
      <w:r>
        <w:rPr>
          <w:rFonts w:hint="eastAsia" w:ascii="Arial Narrow" w:hAnsi="Arial Narrow" w:cs="Arial Narrow"/>
          <w:sz w:val="24"/>
          <w:szCs w:val="24"/>
        </w:rPr>
        <w:t>委托人</w:t>
      </w:r>
      <w:r>
        <w:rPr>
          <w:rFonts w:ascii="Arial Narrow" w:hAnsi="Arial Narrow" w:cs="Arial Narrow"/>
          <w:sz w:val="24"/>
          <w:szCs w:val="24"/>
        </w:rPr>
        <w:t>应及时聘请有资格的资产评估机构重新确定评估价值；</w:t>
      </w:r>
    </w:p>
    <w:p w14:paraId="2A2B1834">
      <w:pPr>
        <w:pStyle w:val="345"/>
        <w:numPr>
          <w:ilvl w:val="0"/>
          <w:numId w:val="27"/>
        </w:numPr>
        <w:spacing w:line="360" w:lineRule="auto"/>
        <w:ind w:left="0" w:firstLine="480"/>
        <w:rPr>
          <w:rFonts w:ascii="Arial Narrow" w:hAnsi="Arial Narrow" w:cs="Arial Narrow"/>
          <w:sz w:val="24"/>
          <w:szCs w:val="24"/>
        </w:rPr>
      </w:pPr>
      <w:r>
        <w:rPr>
          <w:rFonts w:ascii="Arial Narrow" w:hAnsi="Arial Narrow" w:cs="Arial Narrow"/>
          <w:sz w:val="24"/>
          <w:szCs w:val="24"/>
        </w:rPr>
        <w:t>本评估结论是依据上述评估假设得出的结论，如果评估假设条件发生重大变化而对评估结论产生重大影响时，应当重新确定评估基准日进行评估。</w:t>
      </w:r>
    </w:p>
    <w:p w14:paraId="524C58AF">
      <w:pPr>
        <w:pStyle w:val="3"/>
        <w:numPr>
          <w:ilvl w:val="0"/>
          <w:numId w:val="5"/>
        </w:numPr>
        <w:tabs>
          <w:tab w:val="left" w:pos="1134"/>
          <w:tab w:val="left" w:pos="1276"/>
          <w:tab w:val="left" w:pos="1418"/>
        </w:tabs>
        <w:spacing w:before="240" w:after="0" w:line="360" w:lineRule="auto"/>
        <w:ind w:left="0" w:firstLine="562" w:firstLineChars="200"/>
        <w:rPr>
          <w:rFonts w:ascii="Arial Narrow" w:hAnsi="Arial Narrow" w:cs="Arial Narrow"/>
          <w:sz w:val="28"/>
          <w:szCs w:val="28"/>
        </w:rPr>
      </w:pPr>
      <w:bookmarkStart w:id="114" w:name="_Toc433891603"/>
      <w:bookmarkStart w:id="115" w:name="_Toc31048"/>
      <w:bookmarkStart w:id="116" w:name="_Toc508451377"/>
      <w:r>
        <w:rPr>
          <w:rFonts w:ascii="Arial Narrow" w:hAnsi="Arial Narrow" w:cs="Arial Narrow"/>
          <w:sz w:val="28"/>
          <w:szCs w:val="28"/>
        </w:rPr>
        <w:t>评估报告日</w:t>
      </w:r>
      <w:bookmarkEnd w:id="114"/>
      <w:bookmarkEnd w:id="115"/>
      <w:bookmarkEnd w:id="116"/>
    </w:p>
    <w:p w14:paraId="55F30A97">
      <w:pPr>
        <w:pStyle w:val="230"/>
        <w:adjustRightInd/>
        <w:spacing w:after="120" w:afterLines="50"/>
        <w:ind w:firstLine="480" w:firstLineChars="200"/>
        <w:textAlignment w:val="auto"/>
        <w:rPr>
          <w:rFonts w:eastAsia="宋体" w:cs="Arial Narrow"/>
          <w:kern w:val="2"/>
          <w:szCs w:val="24"/>
        </w:rPr>
      </w:pPr>
      <w:r>
        <w:rPr>
          <w:rFonts w:eastAsia="宋体" w:cs="Arial Narrow"/>
          <w:kern w:val="2"/>
          <w:szCs w:val="24"/>
        </w:rPr>
        <w:t>本评估报告日</w:t>
      </w:r>
      <w:r>
        <w:rPr>
          <w:rFonts w:cs="Arial Narrow" w:asciiTheme="minorEastAsia" w:hAnsiTheme="minorEastAsia" w:eastAsiaTheme="minorEastAsia"/>
          <w:kern w:val="2"/>
          <w:szCs w:val="24"/>
        </w:rPr>
        <w:t>为</w:t>
      </w:r>
      <w:r>
        <w:rPr>
          <w:rFonts w:hint="eastAsia" w:cs="Arial Narrow" w:asciiTheme="minorEastAsia" w:hAnsiTheme="minorEastAsia" w:eastAsiaTheme="minorEastAsia"/>
          <w:kern w:val="2"/>
          <w:szCs w:val="24"/>
        </w:rPr>
        <w:t>2025</w:t>
      </w:r>
      <w:r>
        <w:rPr>
          <w:rFonts w:cs="Arial Narrow" w:asciiTheme="minorEastAsia" w:hAnsiTheme="minorEastAsia" w:eastAsiaTheme="minorEastAsia"/>
          <w:kern w:val="2"/>
          <w:szCs w:val="24"/>
        </w:rPr>
        <w:t>年</w:t>
      </w:r>
      <w:r>
        <w:rPr>
          <w:rFonts w:hint="eastAsia" w:cs="Arial Narrow" w:asciiTheme="minorEastAsia" w:hAnsiTheme="minorEastAsia" w:eastAsiaTheme="minorEastAsia"/>
          <w:kern w:val="2"/>
          <w:szCs w:val="24"/>
        </w:rPr>
        <w:t>12</w:t>
      </w:r>
      <w:r>
        <w:rPr>
          <w:rFonts w:cs="Arial Narrow" w:asciiTheme="minorEastAsia" w:hAnsiTheme="minorEastAsia" w:eastAsiaTheme="minorEastAsia"/>
          <w:kern w:val="2"/>
          <w:szCs w:val="24"/>
        </w:rPr>
        <w:t>月</w:t>
      </w:r>
      <w:r>
        <w:rPr>
          <w:rFonts w:hint="eastAsia" w:cs="Arial Narrow" w:asciiTheme="minorEastAsia" w:hAnsiTheme="minorEastAsia" w:eastAsiaTheme="minorEastAsia"/>
          <w:kern w:val="2"/>
          <w:szCs w:val="24"/>
        </w:rPr>
        <w:t>9</w:t>
      </w:r>
      <w:r>
        <w:rPr>
          <w:rFonts w:eastAsia="宋体" w:cs="Arial Narrow"/>
          <w:kern w:val="2"/>
          <w:szCs w:val="24"/>
        </w:rPr>
        <w:t>日。</w:t>
      </w:r>
    </w:p>
    <w:p w14:paraId="67EA149A">
      <w:pPr>
        <w:pStyle w:val="230"/>
        <w:adjustRightInd/>
        <w:spacing w:after="120" w:afterLines="50"/>
        <w:ind w:firstLine="480" w:firstLineChars="200"/>
        <w:textAlignment w:val="auto"/>
        <w:rPr>
          <w:rFonts w:eastAsia="宋体" w:cs="Arial Narrow"/>
          <w:kern w:val="2"/>
          <w:szCs w:val="24"/>
        </w:rPr>
      </w:pPr>
    </w:p>
    <w:p w14:paraId="1A25384E">
      <w:pPr>
        <w:pStyle w:val="230"/>
        <w:adjustRightInd/>
        <w:spacing w:after="120" w:afterLines="50"/>
        <w:ind w:firstLine="480" w:firstLineChars="200"/>
        <w:textAlignment w:val="auto"/>
        <w:rPr>
          <w:rFonts w:eastAsia="宋体" w:cs="Arial Narrow"/>
          <w:kern w:val="2"/>
          <w:szCs w:val="24"/>
        </w:rPr>
      </w:pPr>
    </w:p>
    <w:p w14:paraId="20EDD271">
      <w:pPr>
        <w:spacing w:line="560" w:lineRule="exact"/>
        <w:ind w:firstLine="242" w:firstLineChars="101"/>
        <w:rPr>
          <w:rFonts w:hint="eastAsia" w:hAnsi="宋体"/>
          <w:sz w:val="24"/>
          <w:szCs w:val="24"/>
        </w:rPr>
      </w:pPr>
      <w:r>
        <w:rPr>
          <w:rFonts w:hint="eastAsia" w:hAnsi="宋体"/>
          <w:sz w:val="24"/>
          <w:szCs w:val="24"/>
        </w:rPr>
        <w:t>安徽省茂福资产评估事务所（有限合伙）</w:t>
      </w:r>
      <w:r>
        <w:rPr>
          <w:rFonts w:hAnsi="宋体"/>
          <w:sz w:val="24"/>
          <w:szCs w:val="24"/>
        </w:rPr>
        <w:t xml:space="preserve">   </w:t>
      </w:r>
      <w:r>
        <w:rPr>
          <w:rFonts w:hint="eastAsia" w:hAnsi="宋体"/>
          <w:sz w:val="24"/>
          <w:szCs w:val="24"/>
        </w:rPr>
        <w:t>资产评估师：</w:t>
      </w:r>
    </w:p>
    <w:p w14:paraId="5EAF052D">
      <w:pPr>
        <w:spacing w:line="560" w:lineRule="exact"/>
        <w:ind w:firstLine="720" w:firstLineChars="300"/>
        <w:rPr>
          <w:rFonts w:hint="eastAsia" w:hAnsi="宋体"/>
          <w:sz w:val="24"/>
          <w:szCs w:val="24"/>
        </w:rPr>
      </w:pPr>
    </w:p>
    <w:p w14:paraId="7B667E2A">
      <w:pPr>
        <w:spacing w:line="560" w:lineRule="exact"/>
        <w:ind w:firstLine="5160" w:firstLineChars="2150"/>
        <w:rPr>
          <w:rFonts w:hint="eastAsia" w:hAnsi="宋体"/>
          <w:sz w:val="24"/>
          <w:szCs w:val="24"/>
        </w:rPr>
      </w:pPr>
      <w:r>
        <w:rPr>
          <w:rFonts w:hint="eastAsia" w:hAnsi="宋体"/>
          <w:sz w:val="24"/>
          <w:szCs w:val="24"/>
        </w:rPr>
        <w:t>资产评估师：</w:t>
      </w:r>
    </w:p>
    <w:p w14:paraId="260303E6">
      <w:pPr>
        <w:spacing w:line="560" w:lineRule="exact"/>
        <w:ind w:firstLine="5160" w:firstLineChars="2150"/>
        <w:rPr>
          <w:rFonts w:hint="eastAsia" w:hAnsi="宋体"/>
          <w:sz w:val="24"/>
          <w:szCs w:val="24"/>
        </w:rPr>
      </w:pPr>
      <w:r>
        <w:rPr>
          <w:rFonts w:hint="eastAsia" w:hAnsi="宋体"/>
          <w:sz w:val="24"/>
          <w:szCs w:val="24"/>
        </w:rPr>
        <w:t xml:space="preserve">     </w:t>
      </w:r>
    </w:p>
    <w:p w14:paraId="5CB96518">
      <w:pPr>
        <w:ind w:firstLine="1456" w:firstLineChars="607"/>
        <w:rPr>
          <w:rFonts w:hint="eastAsia" w:hAnsi="宋体"/>
          <w:sz w:val="24"/>
          <w:szCs w:val="24"/>
        </w:rPr>
      </w:pPr>
      <w:r>
        <w:rPr>
          <w:rFonts w:hint="eastAsia" w:hAnsi="宋体"/>
          <w:sz w:val="24"/>
          <w:szCs w:val="24"/>
        </w:rPr>
        <w:t>安徽   淮南               二O二五年十二月九日</w:t>
      </w:r>
    </w:p>
    <w:p w14:paraId="4F68420E">
      <w:pPr>
        <w:pStyle w:val="230"/>
        <w:rPr>
          <w:rFonts w:hint="eastAsia" w:ascii="宋体" w:hAnsi="宋体" w:eastAsia="宋体" w:cs="MS Mincho"/>
          <w:color w:val="000000"/>
        </w:rPr>
      </w:pPr>
    </w:p>
    <w:sectPr>
      <w:footerReference r:id="rId16" w:type="default"/>
      <w:pgSz w:w="11907" w:h="16840"/>
      <w:pgMar w:top="1304" w:right="1134" w:bottom="1418" w:left="1588" w:header="709" w:footer="978" w:gutter="0"/>
      <w:cols w:space="720" w:num="1"/>
      <w:docGrid w:linePitch="46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Arial">
    <w:panose1 w:val="020B0604020202020204"/>
    <w:charset w:val="00"/>
    <w:family w:val="swiss"/>
    <w:pitch w:val="default"/>
    <w:sig w:usb0="E0002AFF" w:usb1="C0007843" w:usb2="00000009" w:usb3="00000000" w:csb0="400001FF" w:csb1="FFFF0000"/>
  </w:font>
  <w:font w:name="Arial Narrow">
    <w:panose1 w:val="020B0606020202030204"/>
    <w:charset w:val="00"/>
    <w:family w:val="swiss"/>
    <w:pitch w:val="default"/>
    <w:sig w:usb0="00000287" w:usb1="00000800" w:usb2="00000000" w:usb3="00000000" w:csb0="2000009F" w:csb1="DFD70000"/>
  </w:font>
  <w:font w:name="仿宋_GB2312">
    <w:panose1 w:val="02010609030101010101"/>
    <w:charset w:val="86"/>
    <w:family w:val="modern"/>
    <w:pitch w:val="default"/>
    <w:sig w:usb0="00000001" w:usb1="080E0000" w:usb2="00000000" w:usb3="00000000" w:csb0="00040000" w:csb1="00000000"/>
  </w:font>
  <w:font w:name="Courier New">
    <w:panose1 w:val="02070309020205020404"/>
    <w:charset w:val="00"/>
    <w:family w:val="modern"/>
    <w:pitch w:val="default"/>
    <w:sig w:usb0="E0002AFF" w:usb1="C0007843" w:usb2="00000009" w:usb3="00000000" w:csb0="400001FF" w:csb1="FFFF0000"/>
  </w:font>
  <w:font w:name="楷体_GB2312">
    <w:panose1 w:val="02010609030101010101"/>
    <w:charset w:val="86"/>
    <w:family w:val="modern"/>
    <w:pitch w:val="default"/>
    <w:sig w:usb0="00000001" w:usb1="080E0000" w:usb2="00000000" w:usb3="00000000" w:csb0="00040000" w:csb1="00000000"/>
  </w:font>
  <w:font w:name="Arial Unicode MS">
    <w:panose1 w:val="020B0604020202020204"/>
    <w:charset w:val="86"/>
    <w:family w:val="roman"/>
    <w:pitch w:val="default"/>
    <w:sig w:usb0="FFFFFFFF" w:usb1="E9FFFFFF" w:usb2="0000003F" w:usb3="00000000" w:csb0="603F01FF" w:csb1="FFFF0000"/>
  </w:font>
  <w:font w:name="昆仑楷体">
    <w:altName w:val="黑体"/>
    <w:panose1 w:val="00000000000000000000"/>
    <w:charset w:val="86"/>
    <w:family w:val="modern"/>
    <w:pitch w:val="default"/>
    <w:sig w:usb0="00000000" w:usb1="00000000" w:usb2="00000010" w:usb3="00000000" w:csb0="00040000" w:csb1="00000000"/>
  </w:font>
  <w:font w:name="华文仿宋">
    <w:panose1 w:val="02010600040101010101"/>
    <w:charset w:val="86"/>
    <w:family w:val="auto"/>
    <w:pitch w:val="default"/>
    <w:sig w:usb0="00000287" w:usb1="080F0000" w:usb2="00000000" w:usb3="00000000" w:csb0="0004009F" w:csb1="DFD70000"/>
  </w:font>
  <w:font w:name="Tms Rmn">
    <w:altName w:val="Segoe Print"/>
    <w:panose1 w:val="02020603040505020304"/>
    <w:charset w:val="00"/>
    <w:family w:val="roman"/>
    <w:pitch w:val="default"/>
    <w:sig w:usb0="00000000" w:usb1="00000000" w:usb2="00000000" w:usb3="00000000" w:csb0="00000001" w:csb1="00000000"/>
  </w:font>
  <w:font w:name="大黑体">
    <w:altName w:val="黑体"/>
    <w:panose1 w:val="00000000000000000000"/>
    <w:charset w:val="86"/>
    <w:family w:val="modern"/>
    <w:pitch w:val="default"/>
    <w:sig w:usb0="00000000" w:usb1="00000000" w:usb2="00000010" w:usb3="00000000" w:csb0="00040000" w:csb1="00000000"/>
  </w:font>
  <w:font w:name="Tahoma">
    <w:panose1 w:val="020B0604030504040204"/>
    <w:charset w:val="00"/>
    <w:family w:val="swiss"/>
    <w:pitch w:val="default"/>
    <w:sig w:usb0="E1002EFF" w:usb1="C000605B" w:usb2="00000029" w:usb3="00000000" w:csb0="200101FF" w:csb1="20280000"/>
  </w:font>
  <w:font w:name="Garamond">
    <w:panose1 w:val="02020404030301010803"/>
    <w:charset w:val="00"/>
    <w:family w:val="roman"/>
    <w:pitch w:val="default"/>
    <w:sig w:usb0="00000287" w:usb1="00000000" w:usb2="00000000" w:usb3="00000000" w:csb0="0000009F" w:csb1="DFD70000"/>
  </w:font>
  <w:font w:name="MS Sans Serif">
    <w:altName w:val="Arial"/>
    <w:panose1 w:val="00000000000000000000"/>
    <w:charset w:val="4D"/>
    <w:family w:val="swiss"/>
    <w:pitch w:val="default"/>
    <w:sig w:usb0="00000000" w:usb1="00000000" w:usb2="00000000" w:usb3="00000000" w:csb0="00000001" w:csb1="00000000"/>
  </w:font>
  <w:font w:name="Verdana">
    <w:panose1 w:val="020B0604030504040204"/>
    <w:charset w:val="00"/>
    <w:family w:val="swiss"/>
    <w:pitch w:val="default"/>
    <w:sig w:usb0="A10006FF" w:usb1="4000205B" w:usb2="00000010" w:usb3="00000000" w:csb0="2000019F" w:csb1="00000000"/>
  </w:font>
  <w:font w:name="仿宋体">
    <w:altName w:val="宋体"/>
    <w:panose1 w:val="00000000000000000000"/>
    <w:charset w:val="86"/>
    <w:family w:val="roman"/>
    <w:pitch w:val="default"/>
    <w:sig w:usb0="00000000" w:usb1="00000000" w:usb2="00000010" w:usb3="00000000" w:csb0="00040000" w:csb1="00000000"/>
  </w:font>
  <w:font w:name="华文中宋">
    <w:panose1 w:val="02010600040101010101"/>
    <w:charset w:val="86"/>
    <w:family w:val="auto"/>
    <w:pitch w:val="default"/>
    <w:sig w:usb0="00000287" w:usb1="080F0000" w:usb2="00000000" w:usb3="00000000" w:csb0="0004009F" w:csb1="DFD70000"/>
  </w:font>
  <w:font w:name="文鼎CS仿宋体">
    <w:altName w:val="黑体"/>
    <w:panose1 w:val="00000000000000000000"/>
    <w:charset w:val="86"/>
    <w:family w:val="modern"/>
    <w:pitch w:val="default"/>
    <w:sig w:usb0="00000000" w:usb1="00000000" w:usb2="00000010" w:usb3="00000000" w:csb0="00040000" w:csb1="00000000"/>
  </w:font>
  <w:font w:name="华文细黑">
    <w:panose1 w:val="02010600040101010101"/>
    <w:charset w:val="86"/>
    <w:family w:val="auto"/>
    <w:pitch w:val="default"/>
    <w:sig w:usb0="00000287" w:usb1="080F0000" w:usb2="00000000" w:usb3="00000000" w:csb0="0004009F" w:csb1="DFD70000"/>
  </w:font>
  <w:font w:name="长城仿宋">
    <w:altName w:val="黑体"/>
    <w:panose1 w:val="00000000000000000000"/>
    <w:charset w:val="86"/>
    <w:family w:val="modern"/>
    <w:pitch w:val="default"/>
    <w:sig w:usb0="00000000" w:usb1="00000000" w:usb2="00000010" w:usb3="00000000" w:csb0="00040000" w:csb1="00000000"/>
  </w:font>
  <w:font w:name="_x000B__x000C_">
    <w:altName w:val="Times New Roman"/>
    <w:panose1 w:val="00000000000000000000"/>
    <w:charset w:val="00"/>
    <w:family w:val="roman"/>
    <w:pitch w:val="default"/>
    <w:sig w:usb0="00000000" w:usb1="00000000" w:usb2="00000000" w:usb3="00000000" w:csb0="00040001" w:csb1="00000000"/>
  </w:font>
  <w:font w:name="方正宋黑简体">
    <w:altName w:val="方正舒体"/>
    <w:panose1 w:val="00000000000000000000"/>
    <w:charset w:val="86"/>
    <w:family w:val="script"/>
    <w:pitch w:val="default"/>
    <w:sig w:usb0="00000000" w:usb1="00000000" w:usb2="00000010" w:usb3="00000000" w:csb0="00040000" w:csb1="00000000"/>
  </w:font>
  <w:font w:name="方正舒体">
    <w:panose1 w:val="02010601030101010101"/>
    <w:charset w:val="86"/>
    <w:family w:val="auto"/>
    <w:pitch w:val="default"/>
    <w:sig w:usb0="00000003" w:usb1="080E0000" w:usb2="00000000" w:usb3="00000000" w:csb0="00040000" w:csb1="00000000"/>
  </w:font>
  <w:font w:name="方正仿宋简体">
    <w:altName w:val="微软雅黑"/>
    <w:panose1 w:val="00000000000000000000"/>
    <w:charset w:val="86"/>
    <w:family w:val="auto"/>
    <w:pitch w:val="default"/>
    <w:sig w:usb0="00000000" w:usb1="00000000" w:usb2="00000010" w:usb3="00000000" w:csb0="00040000" w:csb1="00000000"/>
  </w:font>
  <w:font w:name="微软雅黑">
    <w:panose1 w:val="020B0503020204020204"/>
    <w:charset w:val="86"/>
    <w:family w:val="swiss"/>
    <w:pitch w:val="default"/>
    <w:sig w:usb0="80000287" w:usb1="280F3C52" w:usb2="00000016" w:usb3="00000000" w:csb0="0004001F" w:csb1="00000000"/>
  </w:font>
  <w:font w:name="Georgia">
    <w:panose1 w:val="02040502050405020303"/>
    <w:charset w:val="00"/>
    <w:family w:val="roman"/>
    <w:pitch w:val="default"/>
    <w:sig w:usb0="00000287" w:usb1="00000000" w:usb2="00000000" w:usb3="00000000" w:csb0="2000009F" w:csb1="00000000"/>
  </w:font>
  <w:font w:name="ArialMT">
    <w:altName w:val="Times New Roman"/>
    <w:panose1 w:val="00000000000000000000"/>
    <w:charset w:val="00"/>
    <w:family w:val="roman"/>
    <w:pitch w:val="default"/>
    <w:sig w:usb0="00000000" w:usb1="00000000" w:usb2="00000000" w:usb3="00000000" w:csb0="00000000" w:csb1="00000000"/>
  </w:font>
  <w:font w:name="Noto Sans CJK JP Regular">
    <w:altName w:val="微软雅黑"/>
    <w:panose1 w:val="00000000000000000000"/>
    <w:charset w:val="86"/>
    <w:family w:val="swiss"/>
    <w:pitch w:val="default"/>
    <w:sig w:usb0="00000000" w:usb1="00000000" w:usb2="00000016" w:usb3="00000000" w:csb0="002E0107" w:csb1="00000000"/>
  </w:font>
  <w:font w:name="Arial Black">
    <w:panose1 w:val="020B0A04020102020204"/>
    <w:charset w:val="00"/>
    <w:family w:val="swiss"/>
    <w:pitch w:val="default"/>
    <w:sig w:usb0="00000287" w:usb1="00000000" w:usb2="00000000" w:usb3="00000000" w:csb0="2000009F" w:csb1="DFD70000"/>
  </w:font>
  <w:font w:name="昆仑细圆">
    <w:altName w:val="黑体"/>
    <w:panose1 w:val="00000000000000000000"/>
    <w:charset w:val="86"/>
    <w:family w:val="modern"/>
    <w:pitch w:val="default"/>
    <w:sig w:usb0="00000000" w:usb1="00000000" w:usb2="00000010" w:usb3="00000000" w:csb0="00040000" w:csb1="00000000"/>
  </w:font>
  <w:font w:name="等线">
    <w:altName w:val="Arial Unicode MS"/>
    <w:panose1 w:val="02010600030101010101"/>
    <w:charset w:val="86"/>
    <w:family w:val="auto"/>
    <w:pitch w:val="default"/>
    <w:sig w:usb0="00000000" w:usb1="00000000" w:usb2="00000016" w:usb3="00000000" w:csb0="0004000F" w:csb1="00000000"/>
  </w:font>
  <w:font w:name="DengXian">
    <w:altName w:val="Segoe Print"/>
    <w:panose1 w:val="00000000000000000000"/>
    <w:charset w:val="00"/>
    <w:family w:val="auto"/>
    <w:pitch w:val="default"/>
    <w:sig w:usb0="00000000" w:usb1="00000000" w:usb2="00000000" w:usb3="00000000" w:csb0="00000000" w:csb1="00000000"/>
  </w:font>
  <w:font w:name="MS Mincho">
    <w:panose1 w:val="02020609040205080304"/>
    <w:charset w:val="80"/>
    <w:family w:val="modern"/>
    <w:pitch w:val="default"/>
    <w:sig w:usb0="E00002FF" w:usb1="6AC7FDFB" w:usb2="00000012" w:usb3="00000000" w:csb0="4002009F" w:csb1="DFD7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1DD243B">
    <w:pPr>
      <w:pStyle w:val="37"/>
      <w:pBdr>
        <w:top w:val="single" w:color="auto" w:sz="4" w:space="1"/>
      </w:pBdr>
      <w:rPr>
        <w:rFonts w:ascii="Arial Narrow" w:hAnsi="Arial Narrow"/>
      </w:rPr>
    </w:pPr>
    <w:r>
      <w:rPr>
        <w:rFonts w:hint="eastAsia" w:ascii="Arial Narrow" w:hAnsi="Arial Narrow"/>
      </w:rPr>
      <w:t xml:space="preserve">安徽成文资产评估师事务所（普通合伙）                       </w:t>
    </w:r>
    <w:r>
      <w:rPr>
        <w:rFonts w:ascii="Arial Narrow" w:hAnsi="Arial Narrow"/>
      </w:rPr>
      <w:fldChar w:fldCharType="begin"/>
    </w:r>
    <w:r>
      <w:rPr>
        <w:rFonts w:ascii="Arial Narrow" w:hAnsi="Arial Narrow"/>
      </w:rPr>
      <w:instrText xml:space="preserve"> PAGE   \* MERGEFORMAT </w:instrText>
    </w:r>
    <w:r>
      <w:rPr>
        <w:rFonts w:ascii="Arial Narrow" w:hAnsi="Arial Narrow"/>
      </w:rPr>
      <w:fldChar w:fldCharType="separate"/>
    </w:r>
    <w:r>
      <w:rPr>
        <w:rFonts w:ascii="Arial Narrow" w:hAnsi="Arial Narrow"/>
        <w:lang w:val="zh-CN"/>
      </w:rPr>
      <w:t>2</w:t>
    </w:r>
    <w:r>
      <w:rPr>
        <w:rFonts w:ascii="Arial Narrow" w:hAnsi="Arial Narrow"/>
      </w:rPr>
      <w:fldChar w:fldCharType="end"/>
    </w:r>
    <w:r>
      <w:rPr>
        <w:rFonts w:hint="eastAsia" w:ascii="Arial Narrow" w:hAnsi="Arial Narrow"/>
      </w:rPr>
      <w:t xml:space="preserve">                   </w:t>
    </w:r>
    <w:r>
      <w:rPr>
        <w:rFonts w:ascii="Arial Narrow" w:hAnsi="Arial Narrow"/>
      </w:rPr>
      <w:t>电话：（0</w:t>
    </w:r>
    <w:r>
      <w:rPr>
        <w:rFonts w:hint="eastAsia" w:ascii="Arial Narrow" w:hAnsi="Arial Narrow"/>
      </w:rPr>
      <w:t>551</w:t>
    </w:r>
    <w:r>
      <w:rPr>
        <w:rFonts w:ascii="Arial Narrow" w:hAnsi="Arial Narrow"/>
      </w:rPr>
      <w:t>）</w:t>
    </w:r>
    <w:r>
      <w:rPr>
        <w:rFonts w:hint="eastAsia" w:ascii="Arial Narrow" w:hAnsi="Arial Narrow"/>
      </w:rPr>
      <w:t>65172998</w:t>
    </w:r>
  </w:p>
  <w:p w14:paraId="2BC3DC0D">
    <w:pPr>
      <w:pStyle w:val="37"/>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45E644B">
    <w:pPr>
      <w:pStyle w:val="37"/>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6CBBA09">
    <w:pPr>
      <w:pStyle w:val="37"/>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A474705">
    <w:pPr>
      <w:pStyle w:val="37"/>
      <w:rPr>
        <w:rFonts w:hint="eastAsia" w:ascii="宋体" w:hAnsi="宋体"/>
      </w:rPr>
    </w:pPr>
    <w:r>
      <w:rPr>
        <w:rFonts w:hint="eastAsia" w:ascii="宋体" w:hAnsi="宋体"/>
      </w:rPr>
      <w:t>安徽省茂福资产评估事务所（有限合伙）</w:t>
    </w:r>
    <w:r>
      <w:rPr>
        <w:rFonts w:hint="eastAsia" w:ascii="宋体" w:hAnsi="宋体"/>
        <w:bCs/>
      </w:rPr>
      <w:t xml:space="preserve">                                            </w:t>
    </w:r>
    <w:r>
      <w:rPr>
        <w:rFonts w:ascii="宋体" w:hAnsi="宋体"/>
        <w:bCs/>
      </w:rPr>
      <w:t xml:space="preserve">         </w:t>
    </w:r>
  </w:p>
  <w:p w14:paraId="7B7C7270">
    <w:pPr>
      <w:pStyle w:val="37"/>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4C3B8D0">
    <w:pPr>
      <w:pStyle w:val="37"/>
      <w:pBdr>
        <w:top w:val="single" w:color="auto" w:sz="4" w:space="1"/>
      </w:pBdr>
      <w:rPr>
        <w:rFonts w:ascii="Arial Narrow" w:hAnsi="Arial Narrow"/>
      </w:rPr>
    </w:pPr>
    <w:r>
      <w:rPr>
        <w:rFonts w:hint="eastAsia" w:ascii="Arial Narrow" w:hAnsi="Arial Narrow"/>
      </w:rPr>
      <w:t xml:space="preserve">安徽成文资产评估师事务所（普通合伙）                       </w:t>
    </w:r>
    <w:r>
      <w:rPr>
        <w:rFonts w:ascii="Arial Narrow" w:hAnsi="Arial Narrow"/>
      </w:rPr>
      <w:fldChar w:fldCharType="begin"/>
    </w:r>
    <w:r>
      <w:rPr>
        <w:rFonts w:ascii="Arial Narrow" w:hAnsi="Arial Narrow"/>
      </w:rPr>
      <w:instrText xml:space="preserve"> PAGE   \* MERGEFORMAT </w:instrText>
    </w:r>
    <w:r>
      <w:rPr>
        <w:rFonts w:ascii="Arial Narrow" w:hAnsi="Arial Narrow"/>
      </w:rPr>
      <w:fldChar w:fldCharType="separate"/>
    </w:r>
    <w:r>
      <w:rPr>
        <w:rFonts w:ascii="Arial Narrow" w:hAnsi="Arial Narrow"/>
        <w:lang w:val="zh-CN"/>
      </w:rPr>
      <w:t>2</w:t>
    </w:r>
    <w:r>
      <w:rPr>
        <w:rFonts w:ascii="Arial Narrow" w:hAnsi="Arial Narrow"/>
      </w:rPr>
      <w:fldChar w:fldCharType="end"/>
    </w:r>
    <w:r>
      <w:rPr>
        <w:rFonts w:hint="eastAsia" w:ascii="Arial Narrow" w:hAnsi="Arial Narrow"/>
      </w:rPr>
      <w:t xml:space="preserve">                   </w:t>
    </w:r>
    <w:r>
      <w:rPr>
        <w:rFonts w:ascii="Arial Narrow" w:hAnsi="Arial Narrow"/>
      </w:rPr>
      <w:t>电话：</w:t>
    </w:r>
    <w:r>
      <w:rPr>
        <w:rFonts w:asciiTheme="minorEastAsia" w:hAnsiTheme="minorEastAsia" w:eastAsiaTheme="minorEastAsia"/>
      </w:rPr>
      <w:t>（0</w:t>
    </w:r>
    <w:r>
      <w:rPr>
        <w:rFonts w:hint="eastAsia" w:asciiTheme="minorEastAsia" w:hAnsiTheme="minorEastAsia" w:eastAsiaTheme="minorEastAsia"/>
      </w:rPr>
      <w:t>551</w:t>
    </w:r>
    <w:r>
      <w:rPr>
        <w:rFonts w:asciiTheme="minorEastAsia" w:hAnsiTheme="minorEastAsia" w:eastAsiaTheme="minorEastAsia"/>
      </w:rPr>
      <w:t>）</w:t>
    </w:r>
    <w:r>
      <w:rPr>
        <w:rFonts w:hint="eastAsia" w:asciiTheme="minorEastAsia" w:hAnsiTheme="minorEastAsia" w:eastAsiaTheme="minorEastAsia"/>
      </w:rPr>
      <w:t>65172998</w:t>
    </w:r>
  </w:p>
  <w:p w14:paraId="2395D802">
    <w:pPr>
      <w:pStyle w:val="37"/>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4E5EE39">
    <w:pPr>
      <w:pStyle w:val="37"/>
      <w:rPr>
        <w:rFonts w:hint="eastAsia" w:ascii="宋体" w:hAnsi="宋体"/>
      </w:rPr>
    </w:pPr>
    <w:r>
      <w:rPr>
        <w:rFonts w:hint="eastAsia" w:ascii="宋体" w:hAnsi="宋体"/>
      </w:rPr>
      <w:t xml:space="preserve">安徽省茂福资产评估事务所（有限合伙）   </w:t>
    </w:r>
    <w:r>
      <w:rPr>
        <w:rFonts w:hint="eastAsia" w:ascii="宋体" w:hAnsi="宋体"/>
        <w:bCs/>
      </w:rPr>
      <w:t xml:space="preserve">                                                共</w:t>
    </w:r>
    <w:r>
      <w:rPr>
        <w:rFonts w:ascii="宋体" w:hAnsi="宋体"/>
      </w:rPr>
      <w:t>2</w:t>
    </w:r>
    <w:r>
      <w:rPr>
        <w:rFonts w:hint="eastAsia" w:ascii="宋体" w:hAnsi="宋体"/>
      </w:rPr>
      <w:t>6</w:t>
    </w:r>
    <w:r>
      <w:rPr>
        <w:rStyle w:val="63"/>
        <w:rFonts w:hint="eastAsia" w:ascii="宋体" w:hAnsi="宋体"/>
      </w:rPr>
      <w:t>页  第</w:t>
    </w:r>
    <w:r>
      <w:rPr>
        <w:rFonts w:ascii="宋体" w:hAnsi="宋体"/>
      </w:rPr>
      <w:fldChar w:fldCharType="begin"/>
    </w:r>
    <w:r>
      <w:rPr>
        <w:rStyle w:val="63"/>
        <w:rFonts w:ascii="宋体" w:hAnsi="宋体"/>
      </w:rPr>
      <w:instrText xml:space="preserve"> PAGE </w:instrText>
    </w:r>
    <w:r>
      <w:rPr>
        <w:rFonts w:ascii="宋体" w:hAnsi="宋体"/>
      </w:rPr>
      <w:fldChar w:fldCharType="separate"/>
    </w:r>
    <w:r>
      <w:rPr>
        <w:rStyle w:val="63"/>
        <w:rFonts w:ascii="宋体" w:hAnsi="宋体"/>
      </w:rPr>
      <w:t>1</w:t>
    </w:r>
    <w:r>
      <w:rPr>
        <w:rFonts w:ascii="宋体" w:hAnsi="宋体"/>
      </w:rPr>
      <w:fldChar w:fldCharType="end"/>
    </w:r>
    <w:r>
      <w:rPr>
        <w:rStyle w:val="63"/>
        <w:rFonts w:hint="eastAsia" w:ascii="宋体" w:hAnsi="宋体"/>
      </w:rPr>
      <w:t>页</w:t>
    </w:r>
  </w:p>
  <w:p w14:paraId="23F0C02C">
    <w:pPr>
      <w:pStyle w:val="37"/>
    </w:pP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A3CED1B">
    <w:pPr>
      <w:pStyle w:val="37"/>
      <w:rPr>
        <w:rFonts w:hint="eastAsia" w:ascii="宋体" w:hAnsi="宋体"/>
        <w:color w:val="FF0000"/>
      </w:rPr>
    </w:pPr>
    <w:r>
      <w:rPr>
        <w:rFonts w:hint="eastAsia" w:ascii="宋体" w:hAnsi="宋体"/>
      </w:rPr>
      <w:t xml:space="preserve">安徽省茂福资产评估事务所（有限合伙） </w:t>
    </w:r>
    <w:r>
      <w:rPr>
        <w:rFonts w:hint="eastAsia" w:ascii="宋体" w:hAnsi="宋体"/>
        <w:bCs/>
        <w:color w:val="FF0000"/>
      </w:rPr>
      <w:t xml:space="preserve">                                              </w:t>
    </w:r>
    <w:r>
      <w:rPr>
        <w:rFonts w:hint="eastAsia" w:ascii="宋体" w:hAnsi="宋体"/>
        <w:bCs/>
      </w:rPr>
      <w:t>共</w:t>
    </w:r>
    <w:r>
      <w:rPr>
        <w:rFonts w:ascii="宋体" w:hAnsi="宋体"/>
      </w:rPr>
      <w:t>2</w:t>
    </w:r>
    <w:r>
      <w:rPr>
        <w:rFonts w:hint="eastAsia" w:ascii="宋体" w:hAnsi="宋体"/>
      </w:rPr>
      <w:t>2</w:t>
    </w:r>
    <w:r>
      <w:rPr>
        <w:rStyle w:val="63"/>
        <w:rFonts w:hint="eastAsia" w:ascii="宋体" w:hAnsi="宋体"/>
      </w:rPr>
      <w:t>页  第</w:t>
    </w:r>
    <w:r>
      <w:rPr>
        <w:rFonts w:ascii="宋体" w:hAnsi="宋体"/>
      </w:rPr>
      <w:fldChar w:fldCharType="begin"/>
    </w:r>
    <w:r>
      <w:rPr>
        <w:rStyle w:val="63"/>
        <w:rFonts w:ascii="宋体" w:hAnsi="宋体"/>
      </w:rPr>
      <w:instrText xml:space="preserve"> PAGE </w:instrText>
    </w:r>
    <w:r>
      <w:rPr>
        <w:rFonts w:ascii="宋体" w:hAnsi="宋体"/>
      </w:rPr>
      <w:fldChar w:fldCharType="separate"/>
    </w:r>
    <w:r>
      <w:rPr>
        <w:rStyle w:val="63"/>
        <w:rFonts w:ascii="宋体" w:hAnsi="宋体"/>
      </w:rPr>
      <w:t>3</w:t>
    </w:r>
    <w:r>
      <w:rPr>
        <w:rFonts w:ascii="宋体" w:hAnsi="宋体"/>
      </w:rPr>
      <w:fldChar w:fldCharType="end"/>
    </w:r>
    <w:r>
      <w:rPr>
        <w:rStyle w:val="63"/>
        <w:rFonts w:hint="eastAsia" w:ascii="宋体" w:hAnsi="宋体"/>
      </w:rPr>
      <w:t>页</w:t>
    </w:r>
  </w:p>
  <w:p w14:paraId="0E61198D">
    <w:pPr>
      <w:pStyle w:val="37"/>
    </w:pP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C9B49B4">
    <w:pPr>
      <w:pStyle w:val="37"/>
      <w:rPr>
        <w:rFonts w:hint="eastAsia" w:ascii="宋体" w:hAnsi="宋体"/>
        <w:color w:val="FF0000"/>
      </w:rPr>
    </w:pPr>
    <w:r>
      <w:rPr>
        <w:rFonts w:hint="eastAsia" w:ascii="宋体" w:hAnsi="宋体"/>
      </w:rPr>
      <w:t>安徽省茂福资产评估事务所（有限合伙）</w:t>
    </w:r>
    <w:r>
      <w:rPr>
        <w:rFonts w:hint="eastAsia" w:ascii="宋体" w:hAnsi="宋体"/>
        <w:color w:val="FF0000"/>
      </w:rPr>
      <w:t xml:space="preserve">   </w:t>
    </w:r>
    <w:r>
      <w:rPr>
        <w:rFonts w:hint="eastAsia" w:ascii="宋体" w:hAnsi="宋体"/>
        <w:bCs/>
        <w:color w:val="FF0000"/>
      </w:rPr>
      <w:t xml:space="preserve">                                                </w:t>
    </w:r>
    <w:r>
      <w:rPr>
        <w:rFonts w:hint="eastAsia" w:ascii="宋体" w:hAnsi="宋体"/>
        <w:bCs/>
      </w:rPr>
      <w:t>共</w:t>
    </w:r>
    <w:r>
      <w:rPr>
        <w:rFonts w:ascii="宋体" w:hAnsi="宋体"/>
      </w:rPr>
      <w:t>2</w:t>
    </w:r>
    <w:r>
      <w:rPr>
        <w:rFonts w:hint="eastAsia" w:ascii="宋体" w:hAnsi="宋体"/>
      </w:rPr>
      <w:t>2</w:t>
    </w:r>
    <w:r>
      <w:rPr>
        <w:rStyle w:val="63"/>
        <w:rFonts w:hint="eastAsia" w:ascii="宋体" w:hAnsi="宋体"/>
      </w:rPr>
      <w:t>页  第</w:t>
    </w:r>
    <w:r>
      <w:rPr>
        <w:rFonts w:ascii="宋体" w:hAnsi="宋体"/>
      </w:rPr>
      <w:fldChar w:fldCharType="begin"/>
    </w:r>
    <w:r>
      <w:rPr>
        <w:rStyle w:val="63"/>
        <w:rFonts w:ascii="宋体" w:hAnsi="宋体"/>
      </w:rPr>
      <w:instrText xml:space="preserve"> PAGE </w:instrText>
    </w:r>
    <w:r>
      <w:rPr>
        <w:rFonts w:ascii="宋体" w:hAnsi="宋体"/>
      </w:rPr>
      <w:fldChar w:fldCharType="separate"/>
    </w:r>
    <w:r>
      <w:rPr>
        <w:rStyle w:val="63"/>
        <w:rFonts w:ascii="宋体" w:hAnsi="宋体"/>
      </w:rPr>
      <w:t>23</w:t>
    </w:r>
    <w:r>
      <w:rPr>
        <w:rFonts w:ascii="宋体" w:hAnsi="宋体"/>
      </w:rPr>
      <w:fldChar w:fldCharType="end"/>
    </w:r>
    <w:r>
      <w:rPr>
        <w:rStyle w:val="63"/>
        <w:rFonts w:hint="eastAsia" w:ascii="宋体" w:hAnsi="宋体"/>
      </w:rPr>
      <w:t>页</w:t>
    </w:r>
  </w:p>
  <w:p w14:paraId="0C67316C">
    <w:pPr>
      <w:pStyle w:val="37"/>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2541101">
    <w:pPr>
      <w:pStyle w:val="38"/>
      <w:jc w:val="right"/>
    </w:pPr>
    <w:r>
      <w:rPr>
        <w:rFonts w:ascii="黑体"/>
      </w:rPr>
      <w:t>XXXXXXXX</w:t>
    </w:r>
    <w:r>
      <w:rPr>
        <w:rFonts w:hint="eastAsia" w:ascii="黑体"/>
      </w:rPr>
      <w:t>项目资产评估报告</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7E32DE5">
    <w:pPr>
      <w:pStyle w:val="38"/>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C202B38">
    <w:pPr>
      <w:pStyle w:val="38"/>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C06DD99">
    <w:pPr>
      <w:pStyle w:val="38"/>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9FFA59F">
    <w:pPr>
      <w:pStyle w:val="38"/>
      <w:jc w:val="right"/>
    </w:pPr>
    <w:r>
      <w:rPr>
        <w:rFonts w:hint="eastAsia" w:ascii="黑体"/>
      </w:rPr>
      <w:t>和县飞雁城乡客运有限公司全部股东权益价值项目</w:t>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9CAC4AF">
    <w:pPr>
      <w:pStyle w:val="38"/>
      <w:jc w:val="right"/>
    </w:pPr>
    <w:r>
      <w:rPr>
        <w:rFonts w:hint="eastAsia" w:ascii="黑体"/>
      </w:rPr>
      <w:t>和县飞雁城乡客运有限公司全部股东权益价值项目</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FFFFFF7F"/>
    <w:multiLevelType w:val="singleLevel"/>
    <w:tmpl w:val="FFFFFF7F"/>
    <w:lvl w:ilvl="0" w:tentative="0">
      <w:start w:val="1"/>
      <w:numFmt w:val="decimal"/>
      <w:pStyle w:val="14"/>
      <w:lvlText w:val="%1."/>
      <w:lvlJc w:val="left"/>
      <w:pPr>
        <w:tabs>
          <w:tab w:val="left" w:pos="607"/>
        </w:tabs>
        <w:ind w:left="607" w:leftChars="200" w:hanging="360" w:hangingChars="200"/>
      </w:pPr>
    </w:lvl>
  </w:abstractNum>
  <w:abstractNum w:abstractNumId="1">
    <w:nsid w:val="FFFFFF88"/>
    <w:multiLevelType w:val="singleLevel"/>
    <w:tmpl w:val="FFFFFF88"/>
    <w:lvl w:ilvl="0" w:tentative="0">
      <w:start w:val="1"/>
      <w:numFmt w:val="decimal"/>
      <w:pStyle w:val="16"/>
      <w:lvlText w:val="%1."/>
      <w:lvlJc w:val="left"/>
      <w:pPr>
        <w:tabs>
          <w:tab w:val="left" w:pos="360"/>
        </w:tabs>
        <w:ind w:left="360" w:hanging="360" w:hangingChars="200"/>
      </w:pPr>
    </w:lvl>
  </w:abstractNum>
  <w:abstractNum w:abstractNumId="2">
    <w:nsid w:val="01096755"/>
    <w:multiLevelType w:val="multilevel"/>
    <w:tmpl w:val="01096755"/>
    <w:lvl w:ilvl="0" w:tentative="0">
      <w:start w:val="1"/>
      <w:numFmt w:val="decimal"/>
      <w:lvlText w:val="%1."/>
      <w:lvlJc w:val="left"/>
      <w:pPr>
        <w:ind w:left="840" w:hanging="420"/>
      </w:pPr>
    </w:lvl>
    <w:lvl w:ilvl="1" w:tentative="0">
      <w:start w:val="1"/>
      <w:numFmt w:val="lowerLetter"/>
      <w:lvlText w:val="%2)"/>
      <w:lvlJc w:val="left"/>
      <w:pPr>
        <w:ind w:left="1260" w:hanging="420"/>
      </w:pPr>
    </w:lvl>
    <w:lvl w:ilvl="2" w:tentative="0">
      <w:start w:val="1"/>
      <w:numFmt w:val="lowerRoman"/>
      <w:lvlText w:val="%3."/>
      <w:lvlJc w:val="right"/>
      <w:pPr>
        <w:ind w:left="1680" w:hanging="420"/>
      </w:pPr>
    </w:lvl>
    <w:lvl w:ilvl="3" w:tentative="0">
      <w:start w:val="1"/>
      <w:numFmt w:val="decimal"/>
      <w:lvlText w:val="%4."/>
      <w:lvlJc w:val="left"/>
      <w:pPr>
        <w:ind w:left="2100" w:hanging="420"/>
      </w:pPr>
    </w:lvl>
    <w:lvl w:ilvl="4" w:tentative="0">
      <w:start w:val="1"/>
      <w:numFmt w:val="lowerLetter"/>
      <w:lvlText w:val="%5)"/>
      <w:lvlJc w:val="left"/>
      <w:pPr>
        <w:ind w:left="2520" w:hanging="420"/>
      </w:pPr>
    </w:lvl>
    <w:lvl w:ilvl="5" w:tentative="0">
      <w:start w:val="1"/>
      <w:numFmt w:val="lowerRoman"/>
      <w:lvlText w:val="%6."/>
      <w:lvlJc w:val="right"/>
      <w:pPr>
        <w:ind w:left="2940" w:hanging="420"/>
      </w:pPr>
    </w:lvl>
    <w:lvl w:ilvl="6" w:tentative="0">
      <w:start w:val="1"/>
      <w:numFmt w:val="decimal"/>
      <w:lvlText w:val="%7."/>
      <w:lvlJc w:val="left"/>
      <w:pPr>
        <w:ind w:left="3360" w:hanging="420"/>
      </w:pPr>
    </w:lvl>
    <w:lvl w:ilvl="7" w:tentative="0">
      <w:start w:val="1"/>
      <w:numFmt w:val="lowerLetter"/>
      <w:lvlText w:val="%8)"/>
      <w:lvlJc w:val="left"/>
      <w:pPr>
        <w:ind w:left="3780" w:hanging="420"/>
      </w:pPr>
    </w:lvl>
    <w:lvl w:ilvl="8" w:tentative="0">
      <w:start w:val="1"/>
      <w:numFmt w:val="lowerRoman"/>
      <w:lvlText w:val="%9."/>
      <w:lvlJc w:val="right"/>
      <w:pPr>
        <w:ind w:left="4200" w:hanging="420"/>
      </w:pPr>
    </w:lvl>
  </w:abstractNum>
  <w:abstractNum w:abstractNumId="3">
    <w:nsid w:val="107E6581"/>
    <w:multiLevelType w:val="multilevel"/>
    <w:tmpl w:val="107E6581"/>
    <w:lvl w:ilvl="0" w:tentative="0">
      <w:start w:val="1"/>
      <w:numFmt w:val="japaneseCounting"/>
      <w:lvlText w:val="%1、"/>
      <w:lvlJc w:val="left"/>
      <w:pPr>
        <w:tabs>
          <w:tab w:val="left" w:pos="1015"/>
        </w:tabs>
        <w:ind w:left="1015" w:hanging="489"/>
      </w:pPr>
      <w:rPr>
        <w:rFonts w:hint="default"/>
        <w:b/>
      </w:rPr>
    </w:lvl>
    <w:lvl w:ilvl="1" w:tentative="0">
      <w:start w:val="1"/>
      <w:numFmt w:val="lowerLetter"/>
      <w:lvlText w:val="%2)"/>
      <w:lvlJc w:val="left"/>
      <w:pPr>
        <w:tabs>
          <w:tab w:val="left" w:pos="1366"/>
        </w:tabs>
        <w:ind w:left="1366" w:hanging="420"/>
      </w:pPr>
    </w:lvl>
    <w:lvl w:ilvl="2" w:tentative="0">
      <w:start w:val="1"/>
      <w:numFmt w:val="lowerRoman"/>
      <w:lvlText w:val="%3."/>
      <w:lvlJc w:val="right"/>
      <w:pPr>
        <w:tabs>
          <w:tab w:val="left" w:pos="1786"/>
        </w:tabs>
        <w:ind w:left="1786" w:hanging="420"/>
      </w:pPr>
    </w:lvl>
    <w:lvl w:ilvl="3" w:tentative="0">
      <w:start w:val="1"/>
      <w:numFmt w:val="decimal"/>
      <w:lvlText w:val="%4."/>
      <w:lvlJc w:val="left"/>
      <w:pPr>
        <w:tabs>
          <w:tab w:val="left" w:pos="2206"/>
        </w:tabs>
        <w:ind w:left="2206" w:hanging="420"/>
      </w:pPr>
    </w:lvl>
    <w:lvl w:ilvl="4" w:tentative="0">
      <w:start w:val="1"/>
      <w:numFmt w:val="lowerLetter"/>
      <w:lvlText w:val="%5)"/>
      <w:lvlJc w:val="left"/>
      <w:pPr>
        <w:tabs>
          <w:tab w:val="left" w:pos="2626"/>
        </w:tabs>
        <w:ind w:left="2626" w:hanging="420"/>
      </w:pPr>
    </w:lvl>
    <w:lvl w:ilvl="5" w:tentative="0">
      <w:start w:val="1"/>
      <w:numFmt w:val="lowerRoman"/>
      <w:lvlText w:val="%6."/>
      <w:lvlJc w:val="right"/>
      <w:pPr>
        <w:tabs>
          <w:tab w:val="left" w:pos="3046"/>
        </w:tabs>
        <w:ind w:left="3046" w:hanging="420"/>
      </w:pPr>
    </w:lvl>
    <w:lvl w:ilvl="6" w:tentative="0">
      <w:start w:val="1"/>
      <w:numFmt w:val="decimal"/>
      <w:lvlText w:val="%7."/>
      <w:lvlJc w:val="left"/>
      <w:pPr>
        <w:tabs>
          <w:tab w:val="left" w:pos="3466"/>
        </w:tabs>
        <w:ind w:left="3466" w:hanging="420"/>
      </w:pPr>
    </w:lvl>
    <w:lvl w:ilvl="7" w:tentative="0">
      <w:start w:val="1"/>
      <w:numFmt w:val="lowerLetter"/>
      <w:lvlText w:val="%8)"/>
      <w:lvlJc w:val="left"/>
      <w:pPr>
        <w:tabs>
          <w:tab w:val="left" w:pos="3886"/>
        </w:tabs>
        <w:ind w:left="3886" w:hanging="420"/>
      </w:pPr>
    </w:lvl>
    <w:lvl w:ilvl="8" w:tentative="0">
      <w:start w:val="1"/>
      <w:numFmt w:val="lowerRoman"/>
      <w:lvlText w:val="%9."/>
      <w:lvlJc w:val="right"/>
      <w:pPr>
        <w:tabs>
          <w:tab w:val="left" w:pos="4306"/>
        </w:tabs>
        <w:ind w:left="4306" w:hanging="420"/>
      </w:pPr>
    </w:lvl>
  </w:abstractNum>
  <w:abstractNum w:abstractNumId="4">
    <w:nsid w:val="1201685D"/>
    <w:multiLevelType w:val="multilevel"/>
    <w:tmpl w:val="1201685D"/>
    <w:lvl w:ilvl="0" w:tentative="0">
      <w:start w:val="1"/>
      <w:numFmt w:val="decimal"/>
      <w:suff w:val="space"/>
      <w:lvlText w:val="%1."/>
      <w:lvlJc w:val="left"/>
      <w:pPr>
        <w:ind w:left="987" w:hanging="420"/>
      </w:pPr>
      <w:rPr>
        <w:rFonts w:hint="eastAsia" w:asciiTheme="minorEastAsia" w:hAnsiTheme="minorEastAsia" w:eastAsiaTheme="minorEastAsia"/>
      </w:rPr>
    </w:lvl>
    <w:lvl w:ilvl="1" w:tentative="0">
      <w:start w:val="1"/>
      <w:numFmt w:val="decimalEnclosedCircle"/>
      <w:lvlText w:val="%2"/>
      <w:lvlJc w:val="left"/>
      <w:pPr>
        <w:ind w:left="786" w:hanging="360"/>
      </w:pPr>
      <w:rPr>
        <w:rFonts w:hint="default"/>
      </w:rPr>
    </w:lvl>
    <w:lvl w:ilvl="2" w:tentative="0">
      <w:start w:val="1"/>
      <w:numFmt w:val="decimal"/>
      <w:lvlText w:val="%3）"/>
      <w:lvlJc w:val="left"/>
      <w:pPr>
        <w:ind w:left="1212" w:hanging="360"/>
      </w:pPr>
      <w:rPr>
        <w:rFonts w:hint="default"/>
      </w:r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5">
    <w:nsid w:val="16556A70"/>
    <w:multiLevelType w:val="singleLevel"/>
    <w:tmpl w:val="16556A70"/>
    <w:lvl w:ilvl="0" w:tentative="0">
      <w:start w:val="1"/>
      <w:numFmt w:val="decimal"/>
      <w:suff w:val="space"/>
      <w:lvlText w:val="%1."/>
      <w:lvlJc w:val="left"/>
      <w:rPr>
        <w:rFonts w:asciiTheme="minorEastAsia" w:hAnsiTheme="minorEastAsia" w:eastAsiaTheme="minorEastAsia"/>
      </w:rPr>
    </w:lvl>
  </w:abstractNum>
  <w:abstractNum w:abstractNumId="6">
    <w:nsid w:val="17CE75A3"/>
    <w:multiLevelType w:val="multilevel"/>
    <w:tmpl w:val="17CE75A3"/>
    <w:lvl w:ilvl="0" w:tentative="0">
      <w:start w:val="1"/>
      <w:numFmt w:val="japaneseCounting"/>
      <w:lvlText w:val="(%1)"/>
      <w:lvlJc w:val="left"/>
      <w:pPr>
        <w:ind w:left="900" w:hanging="420"/>
      </w:pPr>
      <w:rPr>
        <w:rFonts w:hint="default"/>
      </w:rPr>
    </w:lvl>
    <w:lvl w:ilvl="1" w:tentative="0">
      <w:start w:val="1"/>
      <w:numFmt w:val="lowerLetter"/>
      <w:lvlText w:val="%2)"/>
      <w:lvlJc w:val="left"/>
      <w:pPr>
        <w:ind w:left="1320" w:hanging="420"/>
      </w:pPr>
    </w:lvl>
    <w:lvl w:ilvl="2" w:tentative="0">
      <w:start w:val="1"/>
      <w:numFmt w:val="lowerRoman"/>
      <w:lvlText w:val="%3."/>
      <w:lvlJc w:val="right"/>
      <w:pPr>
        <w:ind w:left="1740" w:hanging="420"/>
      </w:pPr>
    </w:lvl>
    <w:lvl w:ilvl="3" w:tentative="0">
      <w:start w:val="1"/>
      <w:numFmt w:val="decimal"/>
      <w:lvlText w:val="%4."/>
      <w:lvlJc w:val="left"/>
      <w:pPr>
        <w:ind w:left="2160" w:hanging="420"/>
      </w:pPr>
    </w:lvl>
    <w:lvl w:ilvl="4" w:tentative="0">
      <w:start w:val="1"/>
      <w:numFmt w:val="chineseCountingThousand"/>
      <w:lvlText w:val="（%5）"/>
      <w:lvlJc w:val="left"/>
      <w:pPr>
        <w:ind w:left="839" w:hanging="419"/>
      </w:pPr>
      <w:rPr>
        <w:rFonts w:hint="default"/>
        <w:lang w:val="en-US"/>
      </w:rPr>
    </w:lvl>
    <w:lvl w:ilvl="5" w:tentative="0">
      <w:start w:val="1"/>
      <w:numFmt w:val="lowerRoman"/>
      <w:lvlText w:val="%6."/>
      <w:lvlJc w:val="right"/>
      <w:pPr>
        <w:ind w:left="3000" w:hanging="420"/>
      </w:pPr>
    </w:lvl>
    <w:lvl w:ilvl="6" w:tentative="0">
      <w:start w:val="1"/>
      <w:numFmt w:val="decimal"/>
      <w:lvlText w:val="%7."/>
      <w:lvlJc w:val="left"/>
      <w:pPr>
        <w:ind w:left="3420" w:hanging="420"/>
      </w:pPr>
    </w:lvl>
    <w:lvl w:ilvl="7" w:tentative="0">
      <w:start w:val="1"/>
      <w:numFmt w:val="lowerLetter"/>
      <w:lvlText w:val="%8)"/>
      <w:lvlJc w:val="left"/>
      <w:pPr>
        <w:ind w:left="3840" w:hanging="420"/>
      </w:pPr>
    </w:lvl>
    <w:lvl w:ilvl="8" w:tentative="0">
      <w:start w:val="1"/>
      <w:numFmt w:val="lowerRoman"/>
      <w:lvlText w:val="%9."/>
      <w:lvlJc w:val="right"/>
      <w:pPr>
        <w:ind w:left="4260" w:hanging="420"/>
      </w:pPr>
    </w:lvl>
  </w:abstractNum>
  <w:abstractNum w:abstractNumId="7">
    <w:nsid w:val="28E351E2"/>
    <w:multiLevelType w:val="multilevel"/>
    <w:tmpl w:val="28E351E2"/>
    <w:lvl w:ilvl="0" w:tentative="0">
      <w:start w:val="1"/>
      <w:numFmt w:val="chineseCountingThousand"/>
      <w:lvlText w:val="%1、"/>
      <w:lvlJc w:val="left"/>
      <w:pPr>
        <w:ind w:left="764" w:hanging="480"/>
      </w:pPr>
      <w:rPr>
        <w:rFonts w:hint="eastAsia" w:ascii="黑体" w:hAnsi="黑体" w:eastAsia="黑体"/>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8">
    <w:nsid w:val="2B087D3B"/>
    <w:multiLevelType w:val="singleLevel"/>
    <w:tmpl w:val="2B087D3B"/>
    <w:lvl w:ilvl="0" w:tentative="0">
      <w:start w:val="1"/>
      <w:numFmt w:val="decimal"/>
      <w:suff w:val="space"/>
      <w:lvlText w:val="%1."/>
      <w:lvlJc w:val="left"/>
      <w:rPr>
        <w:rFonts w:asciiTheme="minorEastAsia" w:hAnsiTheme="minorEastAsia" w:eastAsiaTheme="minorEastAsia"/>
      </w:rPr>
    </w:lvl>
  </w:abstractNum>
  <w:abstractNum w:abstractNumId="9">
    <w:nsid w:val="338A6A0B"/>
    <w:multiLevelType w:val="multilevel"/>
    <w:tmpl w:val="338A6A0B"/>
    <w:lvl w:ilvl="0" w:tentative="0">
      <w:start w:val="1"/>
      <w:numFmt w:val="japaneseCounting"/>
      <w:lvlText w:val="（%1）"/>
      <w:lvlJc w:val="left"/>
      <w:pPr>
        <w:tabs>
          <w:tab w:val="left" w:pos="1080"/>
        </w:tabs>
        <w:ind w:left="1080" w:hanging="720"/>
      </w:pPr>
      <w:rPr>
        <w:rFonts w:hint="default" w:ascii="宋体" w:hAnsi="宋体" w:eastAsia="宋体"/>
      </w:r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10">
    <w:nsid w:val="387E07D5"/>
    <w:multiLevelType w:val="multilevel"/>
    <w:tmpl w:val="387E07D5"/>
    <w:lvl w:ilvl="0" w:tentative="0">
      <w:start w:val="1"/>
      <w:numFmt w:val="decimal"/>
      <w:lvlText w:val="%1."/>
      <w:lvlJc w:val="left"/>
      <w:pPr>
        <w:ind w:left="900" w:hanging="420"/>
      </w:pPr>
      <w:rPr>
        <w:rFonts w:asciiTheme="minorEastAsia" w:hAnsiTheme="minorEastAsia" w:eastAsiaTheme="minorEastAsia"/>
      </w:rPr>
    </w:lvl>
    <w:lvl w:ilvl="1" w:tentative="0">
      <w:start w:val="1"/>
      <w:numFmt w:val="lowerLetter"/>
      <w:lvlText w:val="%2)"/>
      <w:lvlJc w:val="left"/>
      <w:pPr>
        <w:ind w:left="1320" w:hanging="420"/>
      </w:pPr>
    </w:lvl>
    <w:lvl w:ilvl="2" w:tentative="0">
      <w:start w:val="1"/>
      <w:numFmt w:val="lowerRoman"/>
      <w:lvlText w:val="%3."/>
      <w:lvlJc w:val="right"/>
      <w:pPr>
        <w:ind w:left="1740" w:hanging="420"/>
      </w:pPr>
    </w:lvl>
    <w:lvl w:ilvl="3" w:tentative="0">
      <w:start w:val="1"/>
      <w:numFmt w:val="decimal"/>
      <w:lvlText w:val="%4."/>
      <w:lvlJc w:val="left"/>
      <w:pPr>
        <w:ind w:left="2160" w:hanging="420"/>
      </w:pPr>
    </w:lvl>
    <w:lvl w:ilvl="4" w:tentative="0">
      <w:start w:val="1"/>
      <w:numFmt w:val="lowerLetter"/>
      <w:lvlText w:val="%5)"/>
      <w:lvlJc w:val="left"/>
      <w:pPr>
        <w:ind w:left="2580" w:hanging="420"/>
      </w:pPr>
    </w:lvl>
    <w:lvl w:ilvl="5" w:tentative="0">
      <w:start w:val="1"/>
      <w:numFmt w:val="lowerRoman"/>
      <w:lvlText w:val="%6."/>
      <w:lvlJc w:val="right"/>
      <w:pPr>
        <w:ind w:left="3000" w:hanging="420"/>
      </w:pPr>
    </w:lvl>
    <w:lvl w:ilvl="6" w:tentative="0">
      <w:start w:val="1"/>
      <w:numFmt w:val="decimal"/>
      <w:lvlText w:val="%7."/>
      <w:lvlJc w:val="left"/>
      <w:pPr>
        <w:ind w:left="3420" w:hanging="420"/>
      </w:pPr>
    </w:lvl>
    <w:lvl w:ilvl="7" w:tentative="0">
      <w:start w:val="1"/>
      <w:numFmt w:val="lowerLetter"/>
      <w:lvlText w:val="%8)"/>
      <w:lvlJc w:val="left"/>
      <w:pPr>
        <w:ind w:left="3840" w:hanging="420"/>
      </w:pPr>
    </w:lvl>
    <w:lvl w:ilvl="8" w:tentative="0">
      <w:start w:val="1"/>
      <w:numFmt w:val="lowerRoman"/>
      <w:lvlText w:val="%9."/>
      <w:lvlJc w:val="right"/>
      <w:pPr>
        <w:ind w:left="4260" w:hanging="420"/>
      </w:pPr>
    </w:lvl>
  </w:abstractNum>
  <w:abstractNum w:abstractNumId="11">
    <w:nsid w:val="39C20FC0"/>
    <w:multiLevelType w:val="multilevel"/>
    <w:tmpl w:val="39C20FC0"/>
    <w:lvl w:ilvl="0" w:tentative="0">
      <w:start w:val="1"/>
      <w:numFmt w:val="decimal"/>
      <w:suff w:val="space"/>
      <w:lvlText w:val="%1."/>
      <w:lvlJc w:val="left"/>
      <w:pPr>
        <w:ind w:left="987" w:hanging="420"/>
      </w:pPr>
      <w:rPr>
        <w:rFonts w:hint="eastAsia" w:asciiTheme="minorEastAsia" w:hAnsiTheme="minorEastAsia" w:eastAsiaTheme="minorEastAsia"/>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12">
    <w:nsid w:val="41B73B4E"/>
    <w:multiLevelType w:val="multilevel"/>
    <w:tmpl w:val="41B73B4E"/>
    <w:lvl w:ilvl="0" w:tentative="0">
      <w:start w:val="1"/>
      <w:numFmt w:val="chineseCountingThousand"/>
      <w:lvlText w:val="(%1)"/>
      <w:lvlJc w:val="left"/>
      <w:pPr>
        <w:ind w:left="842" w:hanging="420"/>
      </w:pPr>
      <w:rPr>
        <w:rFonts w:hint="eastAsia"/>
      </w:rPr>
    </w:lvl>
    <w:lvl w:ilvl="1" w:tentative="0">
      <w:start w:val="1"/>
      <w:numFmt w:val="lowerLetter"/>
      <w:lvlText w:val="%2)"/>
      <w:lvlJc w:val="left"/>
      <w:pPr>
        <w:ind w:left="1262" w:hanging="420"/>
      </w:pPr>
    </w:lvl>
    <w:lvl w:ilvl="2" w:tentative="0">
      <w:start w:val="1"/>
      <w:numFmt w:val="lowerRoman"/>
      <w:lvlText w:val="%3."/>
      <w:lvlJc w:val="right"/>
      <w:pPr>
        <w:ind w:left="1682" w:hanging="420"/>
      </w:pPr>
    </w:lvl>
    <w:lvl w:ilvl="3" w:tentative="0">
      <w:start w:val="1"/>
      <w:numFmt w:val="decimal"/>
      <w:lvlText w:val="%4."/>
      <w:lvlJc w:val="left"/>
      <w:pPr>
        <w:ind w:left="2102" w:hanging="420"/>
      </w:pPr>
    </w:lvl>
    <w:lvl w:ilvl="4" w:tentative="0">
      <w:start w:val="1"/>
      <w:numFmt w:val="lowerLetter"/>
      <w:lvlText w:val="%5)"/>
      <w:lvlJc w:val="left"/>
      <w:pPr>
        <w:ind w:left="2522" w:hanging="420"/>
      </w:pPr>
    </w:lvl>
    <w:lvl w:ilvl="5" w:tentative="0">
      <w:start w:val="1"/>
      <w:numFmt w:val="lowerRoman"/>
      <w:lvlText w:val="%6."/>
      <w:lvlJc w:val="right"/>
      <w:pPr>
        <w:ind w:left="2942" w:hanging="420"/>
      </w:pPr>
    </w:lvl>
    <w:lvl w:ilvl="6" w:tentative="0">
      <w:start w:val="1"/>
      <w:numFmt w:val="decimal"/>
      <w:lvlText w:val="%7."/>
      <w:lvlJc w:val="left"/>
      <w:pPr>
        <w:ind w:left="3362" w:hanging="420"/>
      </w:pPr>
    </w:lvl>
    <w:lvl w:ilvl="7" w:tentative="0">
      <w:start w:val="1"/>
      <w:numFmt w:val="lowerLetter"/>
      <w:lvlText w:val="%8)"/>
      <w:lvlJc w:val="left"/>
      <w:pPr>
        <w:ind w:left="3782" w:hanging="420"/>
      </w:pPr>
    </w:lvl>
    <w:lvl w:ilvl="8" w:tentative="0">
      <w:start w:val="1"/>
      <w:numFmt w:val="lowerRoman"/>
      <w:lvlText w:val="%9."/>
      <w:lvlJc w:val="right"/>
      <w:pPr>
        <w:ind w:left="4202" w:hanging="420"/>
      </w:pPr>
    </w:lvl>
  </w:abstractNum>
  <w:abstractNum w:abstractNumId="13">
    <w:nsid w:val="42324D08"/>
    <w:multiLevelType w:val="multilevel"/>
    <w:tmpl w:val="42324D08"/>
    <w:lvl w:ilvl="0" w:tentative="0">
      <w:start w:val="1"/>
      <w:numFmt w:val="japaneseCounting"/>
      <w:lvlText w:val="%1、"/>
      <w:lvlJc w:val="left"/>
      <w:pPr>
        <w:tabs>
          <w:tab w:val="left" w:pos="1249"/>
        </w:tabs>
        <w:ind w:left="1249" w:hanging="829"/>
      </w:pPr>
      <w:rPr>
        <w:rFonts w:hint="default"/>
      </w:rPr>
    </w:lvl>
    <w:lvl w:ilvl="1" w:tentative="0">
      <w:start w:val="1"/>
      <w:numFmt w:val="lowerLetter"/>
      <w:lvlText w:val="%2)"/>
      <w:lvlJc w:val="left"/>
      <w:pPr>
        <w:tabs>
          <w:tab w:val="left" w:pos="1260"/>
        </w:tabs>
        <w:ind w:left="1260" w:hanging="420"/>
      </w:pPr>
    </w:lvl>
    <w:lvl w:ilvl="2" w:tentative="0">
      <w:start w:val="1"/>
      <w:numFmt w:val="lowerRoman"/>
      <w:lvlText w:val="%3."/>
      <w:lvlJc w:val="right"/>
      <w:pPr>
        <w:tabs>
          <w:tab w:val="left" w:pos="1680"/>
        </w:tabs>
        <w:ind w:left="1680" w:hanging="420"/>
      </w:pPr>
    </w:lvl>
    <w:lvl w:ilvl="3" w:tentative="0">
      <w:start w:val="1"/>
      <w:numFmt w:val="decimal"/>
      <w:lvlText w:val="%4."/>
      <w:lvlJc w:val="left"/>
      <w:pPr>
        <w:tabs>
          <w:tab w:val="left" w:pos="2100"/>
        </w:tabs>
        <w:ind w:left="2100" w:hanging="420"/>
      </w:pPr>
    </w:lvl>
    <w:lvl w:ilvl="4" w:tentative="0">
      <w:start w:val="1"/>
      <w:numFmt w:val="lowerLetter"/>
      <w:lvlText w:val="%5)"/>
      <w:lvlJc w:val="left"/>
      <w:pPr>
        <w:tabs>
          <w:tab w:val="left" w:pos="2520"/>
        </w:tabs>
        <w:ind w:left="2520" w:hanging="420"/>
      </w:pPr>
    </w:lvl>
    <w:lvl w:ilvl="5" w:tentative="0">
      <w:start w:val="1"/>
      <w:numFmt w:val="lowerRoman"/>
      <w:lvlText w:val="%6."/>
      <w:lvlJc w:val="right"/>
      <w:pPr>
        <w:tabs>
          <w:tab w:val="left" w:pos="2940"/>
        </w:tabs>
        <w:ind w:left="2940" w:hanging="420"/>
      </w:pPr>
    </w:lvl>
    <w:lvl w:ilvl="6" w:tentative="0">
      <w:start w:val="1"/>
      <w:numFmt w:val="decimal"/>
      <w:lvlText w:val="%7."/>
      <w:lvlJc w:val="left"/>
      <w:pPr>
        <w:tabs>
          <w:tab w:val="left" w:pos="3360"/>
        </w:tabs>
        <w:ind w:left="3360" w:hanging="420"/>
      </w:pPr>
    </w:lvl>
    <w:lvl w:ilvl="7" w:tentative="0">
      <w:start w:val="1"/>
      <w:numFmt w:val="lowerLetter"/>
      <w:lvlText w:val="%8)"/>
      <w:lvlJc w:val="left"/>
      <w:pPr>
        <w:tabs>
          <w:tab w:val="left" w:pos="3780"/>
        </w:tabs>
        <w:ind w:left="3780" w:hanging="420"/>
      </w:pPr>
    </w:lvl>
    <w:lvl w:ilvl="8" w:tentative="0">
      <w:start w:val="1"/>
      <w:numFmt w:val="lowerRoman"/>
      <w:lvlText w:val="%9."/>
      <w:lvlJc w:val="right"/>
      <w:pPr>
        <w:tabs>
          <w:tab w:val="left" w:pos="4200"/>
        </w:tabs>
        <w:ind w:left="4200" w:hanging="420"/>
      </w:pPr>
    </w:lvl>
  </w:abstractNum>
  <w:abstractNum w:abstractNumId="14">
    <w:nsid w:val="432E7CCA"/>
    <w:multiLevelType w:val="multilevel"/>
    <w:tmpl w:val="432E7CCA"/>
    <w:lvl w:ilvl="0" w:tentative="0">
      <w:start w:val="1"/>
      <w:numFmt w:val="chineseCountingThousand"/>
      <w:lvlText w:val="(%1)"/>
      <w:lvlJc w:val="left"/>
      <w:pPr>
        <w:ind w:left="842" w:hanging="420"/>
      </w:pPr>
      <w:rPr>
        <w:rFonts w:hint="eastAsia"/>
      </w:rPr>
    </w:lvl>
    <w:lvl w:ilvl="1" w:tentative="0">
      <w:start w:val="1"/>
      <w:numFmt w:val="lowerLetter"/>
      <w:lvlText w:val="%2)"/>
      <w:lvlJc w:val="left"/>
      <w:pPr>
        <w:ind w:left="1262" w:hanging="420"/>
      </w:pPr>
    </w:lvl>
    <w:lvl w:ilvl="2" w:tentative="0">
      <w:start w:val="1"/>
      <w:numFmt w:val="lowerRoman"/>
      <w:lvlText w:val="%3."/>
      <w:lvlJc w:val="right"/>
      <w:pPr>
        <w:ind w:left="1682" w:hanging="420"/>
      </w:pPr>
    </w:lvl>
    <w:lvl w:ilvl="3" w:tentative="0">
      <w:start w:val="1"/>
      <w:numFmt w:val="decimal"/>
      <w:lvlText w:val="%4."/>
      <w:lvlJc w:val="left"/>
      <w:pPr>
        <w:ind w:left="2102" w:hanging="420"/>
      </w:pPr>
    </w:lvl>
    <w:lvl w:ilvl="4" w:tentative="0">
      <w:start w:val="1"/>
      <w:numFmt w:val="lowerLetter"/>
      <w:lvlText w:val="%5)"/>
      <w:lvlJc w:val="left"/>
      <w:pPr>
        <w:ind w:left="2522" w:hanging="420"/>
      </w:pPr>
    </w:lvl>
    <w:lvl w:ilvl="5" w:tentative="0">
      <w:start w:val="1"/>
      <w:numFmt w:val="lowerRoman"/>
      <w:lvlText w:val="%6."/>
      <w:lvlJc w:val="right"/>
      <w:pPr>
        <w:ind w:left="2942" w:hanging="420"/>
      </w:pPr>
    </w:lvl>
    <w:lvl w:ilvl="6" w:tentative="0">
      <w:start w:val="1"/>
      <w:numFmt w:val="decimal"/>
      <w:lvlText w:val="%7."/>
      <w:lvlJc w:val="left"/>
      <w:pPr>
        <w:ind w:left="3362" w:hanging="420"/>
      </w:pPr>
    </w:lvl>
    <w:lvl w:ilvl="7" w:tentative="0">
      <w:start w:val="1"/>
      <w:numFmt w:val="lowerLetter"/>
      <w:lvlText w:val="%8)"/>
      <w:lvlJc w:val="left"/>
      <w:pPr>
        <w:ind w:left="3782" w:hanging="420"/>
      </w:pPr>
    </w:lvl>
    <w:lvl w:ilvl="8" w:tentative="0">
      <w:start w:val="1"/>
      <w:numFmt w:val="lowerRoman"/>
      <w:lvlText w:val="%9."/>
      <w:lvlJc w:val="right"/>
      <w:pPr>
        <w:ind w:left="4202" w:hanging="420"/>
      </w:pPr>
    </w:lvl>
  </w:abstractNum>
  <w:abstractNum w:abstractNumId="15">
    <w:nsid w:val="446D3E54"/>
    <w:multiLevelType w:val="singleLevel"/>
    <w:tmpl w:val="446D3E54"/>
    <w:lvl w:ilvl="0" w:tentative="0">
      <w:start w:val="1"/>
      <w:numFmt w:val="decimal"/>
      <w:suff w:val="space"/>
      <w:lvlText w:val="%1."/>
      <w:lvlJc w:val="left"/>
      <w:rPr>
        <w:rFonts w:asciiTheme="minorEastAsia" w:hAnsiTheme="minorEastAsia" w:eastAsiaTheme="minorEastAsia"/>
      </w:rPr>
    </w:lvl>
  </w:abstractNum>
  <w:abstractNum w:abstractNumId="16">
    <w:nsid w:val="476C4915"/>
    <w:multiLevelType w:val="multilevel"/>
    <w:tmpl w:val="476C4915"/>
    <w:lvl w:ilvl="0" w:tentative="0">
      <w:start w:val="4"/>
      <w:numFmt w:val="decimal"/>
      <w:lvlText w:val="%1、"/>
      <w:lvlJc w:val="left"/>
      <w:pPr>
        <w:ind w:left="840" w:hanging="360"/>
      </w:pPr>
      <w:rPr>
        <w:rFonts w:hint="default"/>
      </w:rPr>
    </w:lvl>
    <w:lvl w:ilvl="1" w:tentative="0">
      <w:start w:val="1"/>
      <w:numFmt w:val="lowerLetter"/>
      <w:lvlText w:val="%2)"/>
      <w:lvlJc w:val="left"/>
      <w:pPr>
        <w:ind w:left="1320" w:hanging="420"/>
      </w:pPr>
    </w:lvl>
    <w:lvl w:ilvl="2" w:tentative="0">
      <w:start w:val="1"/>
      <w:numFmt w:val="lowerRoman"/>
      <w:lvlText w:val="%3."/>
      <w:lvlJc w:val="right"/>
      <w:pPr>
        <w:ind w:left="1740" w:hanging="420"/>
      </w:pPr>
    </w:lvl>
    <w:lvl w:ilvl="3" w:tentative="0">
      <w:start w:val="1"/>
      <w:numFmt w:val="decimal"/>
      <w:lvlText w:val="%4."/>
      <w:lvlJc w:val="left"/>
      <w:pPr>
        <w:ind w:left="2160" w:hanging="420"/>
      </w:pPr>
    </w:lvl>
    <w:lvl w:ilvl="4" w:tentative="0">
      <w:start w:val="1"/>
      <w:numFmt w:val="lowerLetter"/>
      <w:lvlText w:val="%5)"/>
      <w:lvlJc w:val="left"/>
      <w:pPr>
        <w:ind w:left="2580" w:hanging="420"/>
      </w:pPr>
    </w:lvl>
    <w:lvl w:ilvl="5" w:tentative="0">
      <w:start w:val="1"/>
      <w:numFmt w:val="lowerRoman"/>
      <w:lvlText w:val="%6."/>
      <w:lvlJc w:val="right"/>
      <w:pPr>
        <w:ind w:left="3000" w:hanging="420"/>
      </w:pPr>
    </w:lvl>
    <w:lvl w:ilvl="6" w:tentative="0">
      <w:start w:val="1"/>
      <w:numFmt w:val="decimal"/>
      <w:lvlText w:val="%7."/>
      <w:lvlJc w:val="left"/>
      <w:pPr>
        <w:ind w:left="3420" w:hanging="420"/>
      </w:pPr>
    </w:lvl>
    <w:lvl w:ilvl="7" w:tentative="0">
      <w:start w:val="1"/>
      <w:numFmt w:val="lowerLetter"/>
      <w:lvlText w:val="%8)"/>
      <w:lvlJc w:val="left"/>
      <w:pPr>
        <w:ind w:left="3840" w:hanging="420"/>
      </w:pPr>
    </w:lvl>
    <w:lvl w:ilvl="8" w:tentative="0">
      <w:start w:val="1"/>
      <w:numFmt w:val="lowerRoman"/>
      <w:lvlText w:val="%9."/>
      <w:lvlJc w:val="right"/>
      <w:pPr>
        <w:ind w:left="4260" w:hanging="420"/>
      </w:pPr>
    </w:lvl>
  </w:abstractNum>
  <w:abstractNum w:abstractNumId="17">
    <w:nsid w:val="4CD53FC1"/>
    <w:multiLevelType w:val="multilevel"/>
    <w:tmpl w:val="4CD53FC1"/>
    <w:lvl w:ilvl="0" w:tentative="0">
      <w:start w:val="1"/>
      <w:numFmt w:val="decimal"/>
      <w:lvlText w:val="%1)"/>
      <w:lvlJc w:val="left"/>
      <w:pPr>
        <w:ind w:left="846" w:hanging="420"/>
      </w:pPr>
    </w:lvl>
    <w:lvl w:ilvl="1" w:tentative="0">
      <w:start w:val="1"/>
      <w:numFmt w:val="decimal"/>
      <w:lvlText w:val="（%2）"/>
      <w:lvlJc w:val="left"/>
      <w:pPr>
        <w:ind w:left="1320" w:hanging="420"/>
      </w:pPr>
      <w:rPr>
        <w:rFonts w:hint="default"/>
      </w:rPr>
    </w:lvl>
    <w:lvl w:ilvl="2" w:tentative="0">
      <w:start w:val="1"/>
      <w:numFmt w:val="lowerRoman"/>
      <w:lvlText w:val="%3."/>
      <w:lvlJc w:val="right"/>
      <w:pPr>
        <w:ind w:left="1740" w:hanging="420"/>
      </w:pPr>
    </w:lvl>
    <w:lvl w:ilvl="3" w:tentative="0">
      <w:start w:val="1"/>
      <w:numFmt w:val="decimal"/>
      <w:lvlText w:val="%4."/>
      <w:lvlJc w:val="left"/>
      <w:pPr>
        <w:ind w:left="2160" w:hanging="420"/>
      </w:pPr>
    </w:lvl>
    <w:lvl w:ilvl="4" w:tentative="0">
      <w:start w:val="1"/>
      <w:numFmt w:val="lowerLetter"/>
      <w:lvlText w:val="%5)"/>
      <w:lvlJc w:val="left"/>
      <w:pPr>
        <w:ind w:left="2580" w:hanging="420"/>
      </w:pPr>
    </w:lvl>
    <w:lvl w:ilvl="5" w:tentative="0">
      <w:start w:val="1"/>
      <w:numFmt w:val="lowerRoman"/>
      <w:lvlText w:val="%6."/>
      <w:lvlJc w:val="right"/>
      <w:pPr>
        <w:ind w:left="3000" w:hanging="420"/>
      </w:pPr>
    </w:lvl>
    <w:lvl w:ilvl="6" w:tentative="0">
      <w:start w:val="1"/>
      <w:numFmt w:val="decimal"/>
      <w:lvlText w:val="%7."/>
      <w:lvlJc w:val="left"/>
      <w:pPr>
        <w:ind w:left="3420" w:hanging="420"/>
      </w:pPr>
    </w:lvl>
    <w:lvl w:ilvl="7" w:tentative="0">
      <w:start w:val="1"/>
      <w:numFmt w:val="lowerLetter"/>
      <w:lvlText w:val="%8)"/>
      <w:lvlJc w:val="left"/>
      <w:pPr>
        <w:ind w:left="3840" w:hanging="420"/>
      </w:pPr>
    </w:lvl>
    <w:lvl w:ilvl="8" w:tentative="0">
      <w:start w:val="1"/>
      <w:numFmt w:val="lowerRoman"/>
      <w:lvlText w:val="%9."/>
      <w:lvlJc w:val="right"/>
      <w:pPr>
        <w:ind w:left="4260" w:hanging="420"/>
      </w:pPr>
    </w:lvl>
  </w:abstractNum>
  <w:abstractNum w:abstractNumId="18">
    <w:nsid w:val="4D9D54B1"/>
    <w:multiLevelType w:val="multilevel"/>
    <w:tmpl w:val="4D9D54B1"/>
    <w:lvl w:ilvl="0" w:tentative="0">
      <w:start w:val="1"/>
      <w:numFmt w:val="japaneseCounting"/>
      <w:lvlText w:val="（%1）"/>
      <w:lvlJc w:val="left"/>
      <w:pPr>
        <w:tabs>
          <w:tab w:val="left" w:pos="1080"/>
        </w:tabs>
        <w:ind w:left="1080" w:hanging="720"/>
      </w:pPr>
      <w:rPr>
        <w:rFonts w:hint="default" w:ascii="宋体" w:hAnsi="宋体" w:eastAsia="宋体"/>
      </w:r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19">
    <w:nsid w:val="55E44747"/>
    <w:multiLevelType w:val="multilevel"/>
    <w:tmpl w:val="55E44747"/>
    <w:lvl w:ilvl="0" w:tentative="0">
      <w:start w:val="1"/>
      <w:numFmt w:val="decimal"/>
      <w:lvlText w:val="%1."/>
      <w:lvlJc w:val="left"/>
      <w:pPr>
        <w:ind w:left="900" w:hanging="420"/>
      </w:pPr>
      <w:rPr>
        <w:rFonts w:asciiTheme="minorEastAsia" w:hAnsiTheme="minorEastAsia" w:eastAsiaTheme="minorEastAsia"/>
      </w:rPr>
    </w:lvl>
    <w:lvl w:ilvl="1" w:tentative="0">
      <w:start w:val="1"/>
      <w:numFmt w:val="lowerLetter"/>
      <w:lvlText w:val="%2)"/>
      <w:lvlJc w:val="left"/>
      <w:pPr>
        <w:ind w:left="1320" w:hanging="420"/>
      </w:pPr>
    </w:lvl>
    <w:lvl w:ilvl="2" w:tentative="0">
      <w:start w:val="1"/>
      <w:numFmt w:val="lowerRoman"/>
      <w:lvlText w:val="%3."/>
      <w:lvlJc w:val="right"/>
      <w:pPr>
        <w:ind w:left="1740" w:hanging="420"/>
      </w:pPr>
    </w:lvl>
    <w:lvl w:ilvl="3" w:tentative="0">
      <w:start w:val="1"/>
      <w:numFmt w:val="decimal"/>
      <w:lvlText w:val="%4."/>
      <w:lvlJc w:val="left"/>
      <w:pPr>
        <w:ind w:left="2160" w:hanging="420"/>
      </w:pPr>
    </w:lvl>
    <w:lvl w:ilvl="4" w:tentative="0">
      <w:start w:val="1"/>
      <w:numFmt w:val="lowerLetter"/>
      <w:lvlText w:val="%5)"/>
      <w:lvlJc w:val="left"/>
      <w:pPr>
        <w:ind w:left="2580" w:hanging="420"/>
      </w:pPr>
    </w:lvl>
    <w:lvl w:ilvl="5" w:tentative="0">
      <w:start w:val="1"/>
      <w:numFmt w:val="lowerRoman"/>
      <w:lvlText w:val="%6."/>
      <w:lvlJc w:val="right"/>
      <w:pPr>
        <w:ind w:left="3000" w:hanging="420"/>
      </w:pPr>
    </w:lvl>
    <w:lvl w:ilvl="6" w:tentative="0">
      <w:start w:val="1"/>
      <w:numFmt w:val="decimal"/>
      <w:lvlText w:val="%7."/>
      <w:lvlJc w:val="left"/>
      <w:pPr>
        <w:ind w:left="3420" w:hanging="420"/>
      </w:pPr>
    </w:lvl>
    <w:lvl w:ilvl="7" w:tentative="0">
      <w:start w:val="1"/>
      <w:numFmt w:val="lowerLetter"/>
      <w:lvlText w:val="%8)"/>
      <w:lvlJc w:val="left"/>
      <w:pPr>
        <w:ind w:left="3840" w:hanging="420"/>
      </w:pPr>
    </w:lvl>
    <w:lvl w:ilvl="8" w:tentative="0">
      <w:start w:val="1"/>
      <w:numFmt w:val="lowerRoman"/>
      <w:lvlText w:val="%9."/>
      <w:lvlJc w:val="right"/>
      <w:pPr>
        <w:ind w:left="4260" w:hanging="420"/>
      </w:pPr>
    </w:lvl>
  </w:abstractNum>
  <w:abstractNum w:abstractNumId="20">
    <w:nsid w:val="5D490309"/>
    <w:multiLevelType w:val="multilevel"/>
    <w:tmpl w:val="5D490309"/>
    <w:lvl w:ilvl="0" w:tentative="0">
      <w:start w:val="1"/>
      <w:numFmt w:val="chineseCountingThousand"/>
      <w:lvlText w:val="（%1）"/>
      <w:lvlJc w:val="left"/>
      <w:pPr>
        <w:tabs>
          <w:tab w:val="left" w:pos="1156"/>
        </w:tabs>
        <w:ind w:left="1156" w:hanging="420"/>
      </w:pPr>
      <w:rPr>
        <w:rFonts w:hint="eastAsia" w:ascii="黑体" w:hAnsi="黑体" w:eastAsia="黑体"/>
      </w:r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21">
    <w:nsid w:val="5DAF4151"/>
    <w:multiLevelType w:val="multilevel"/>
    <w:tmpl w:val="5DAF4151"/>
    <w:lvl w:ilvl="0" w:tentative="0">
      <w:start w:val="1"/>
      <w:numFmt w:val="decimal"/>
      <w:lvlText w:val="%1."/>
      <w:lvlJc w:val="left"/>
      <w:pPr>
        <w:ind w:left="1130" w:hanging="420"/>
      </w:pPr>
    </w:lvl>
    <w:lvl w:ilvl="1" w:tentative="0">
      <w:start w:val="1"/>
      <w:numFmt w:val="lowerLetter"/>
      <w:lvlText w:val="%2)"/>
      <w:lvlJc w:val="left"/>
      <w:pPr>
        <w:ind w:left="1550" w:hanging="420"/>
      </w:pPr>
    </w:lvl>
    <w:lvl w:ilvl="2" w:tentative="0">
      <w:start w:val="1"/>
      <w:numFmt w:val="lowerRoman"/>
      <w:lvlText w:val="%3."/>
      <w:lvlJc w:val="right"/>
      <w:pPr>
        <w:ind w:left="1970" w:hanging="420"/>
      </w:pPr>
    </w:lvl>
    <w:lvl w:ilvl="3" w:tentative="0">
      <w:start w:val="1"/>
      <w:numFmt w:val="decimal"/>
      <w:lvlText w:val="%4."/>
      <w:lvlJc w:val="left"/>
      <w:pPr>
        <w:ind w:left="2390" w:hanging="420"/>
      </w:pPr>
    </w:lvl>
    <w:lvl w:ilvl="4" w:tentative="0">
      <w:start w:val="1"/>
      <w:numFmt w:val="lowerLetter"/>
      <w:lvlText w:val="%5)"/>
      <w:lvlJc w:val="left"/>
      <w:pPr>
        <w:ind w:left="2810" w:hanging="420"/>
      </w:pPr>
    </w:lvl>
    <w:lvl w:ilvl="5" w:tentative="0">
      <w:start w:val="1"/>
      <w:numFmt w:val="lowerRoman"/>
      <w:lvlText w:val="%6."/>
      <w:lvlJc w:val="right"/>
      <w:pPr>
        <w:ind w:left="3230" w:hanging="420"/>
      </w:pPr>
    </w:lvl>
    <w:lvl w:ilvl="6" w:tentative="0">
      <w:start w:val="1"/>
      <w:numFmt w:val="decimal"/>
      <w:lvlText w:val="%7."/>
      <w:lvlJc w:val="left"/>
      <w:pPr>
        <w:ind w:left="3650" w:hanging="420"/>
      </w:pPr>
    </w:lvl>
    <w:lvl w:ilvl="7" w:tentative="0">
      <w:start w:val="1"/>
      <w:numFmt w:val="lowerLetter"/>
      <w:lvlText w:val="%8)"/>
      <w:lvlJc w:val="left"/>
      <w:pPr>
        <w:ind w:left="4070" w:hanging="420"/>
      </w:pPr>
    </w:lvl>
    <w:lvl w:ilvl="8" w:tentative="0">
      <w:start w:val="1"/>
      <w:numFmt w:val="lowerRoman"/>
      <w:lvlText w:val="%9."/>
      <w:lvlJc w:val="right"/>
      <w:pPr>
        <w:ind w:left="4490" w:hanging="420"/>
      </w:pPr>
    </w:lvl>
  </w:abstractNum>
  <w:abstractNum w:abstractNumId="22">
    <w:nsid w:val="5DF84670"/>
    <w:multiLevelType w:val="multilevel"/>
    <w:tmpl w:val="5DF84670"/>
    <w:lvl w:ilvl="0" w:tentative="0">
      <w:start w:val="1"/>
      <w:numFmt w:val="japaneseCounting"/>
      <w:lvlText w:val="（%1）"/>
      <w:lvlJc w:val="left"/>
      <w:pPr>
        <w:ind w:left="1161" w:hanging="735"/>
      </w:pPr>
      <w:rPr>
        <w:rFonts w:hint="default"/>
        <w:b/>
      </w:rPr>
    </w:lvl>
    <w:lvl w:ilvl="1" w:tentative="0">
      <w:start w:val="1"/>
      <w:numFmt w:val="lowerLetter"/>
      <w:lvlText w:val="%2)"/>
      <w:lvlJc w:val="left"/>
      <w:pPr>
        <w:ind w:left="1266" w:hanging="420"/>
      </w:pPr>
    </w:lvl>
    <w:lvl w:ilvl="2" w:tentative="0">
      <w:start w:val="1"/>
      <w:numFmt w:val="lowerRoman"/>
      <w:lvlText w:val="%3."/>
      <w:lvlJc w:val="right"/>
      <w:pPr>
        <w:ind w:left="1686" w:hanging="420"/>
      </w:pPr>
    </w:lvl>
    <w:lvl w:ilvl="3" w:tentative="0">
      <w:start w:val="1"/>
      <w:numFmt w:val="decimal"/>
      <w:lvlText w:val="%4."/>
      <w:lvlJc w:val="left"/>
      <w:pPr>
        <w:ind w:left="2106" w:hanging="420"/>
      </w:pPr>
    </w:lvl>
    <w:lvl w:ilvl="4" w:tentative="0">
      <w:start w:val="1"/>
      <w:numFmt w:val="lowerLetter"/>
      <w:lvlText w:val="%5)"/>
      <w:lvlJc w:val="left"/>
      <w:pPr>
        <w:ind w:left="2526" w:hanging="420"/>
      </w:pPr>
    </w:lvl>
    <w:lvl w:ilvl="5" w:tentative="0">
      <w:start w:val="1"/>
      <w:numFmt w:val="lowerRoman"/>
      <w:lvlText w:val="%6."/>
      <w:lvlJc w:val="right"/>
      <w:pPr>
        <w:ind w:left="2946" w:hanging="420"/>
      </w:pPr>
    </w:lvl>
    <w:lvl w:ilvl="6" w:tentative="0">
      <w:start w:val="1"/>
      <w:numFmt w:val="decimal"/>
      <w:lvlText w:val="%7."/>
      <w:lvlJc w:val="left"/>
      <w:pPr>
        <w:ind w:left="3366" w:hanging="420"/>
      </w:pPr>
    </w:lvl>
    <w:lvl w:ilvl="7" w:tentative="0">
      <w:start w:val="1"/>
      <w:numFmt w:val="lowerLetter"/>
      <w:lvlText w:val="%8)"/>
      <w:lvlJc w:val="left"/>
      <w:pPr>
        <w:ind w:left="3786" w:hanging="420"/>
      </w:pPr>
    </w:lvl>
    <w:lvl w:ilvl="8" w:tentative="0">
      <w:start w:val="1"/>
      <w:numFmt w:val="lowerRoman"/>
      <w:lvlText w:val="%9."/>
      <w:lvlJc w:val="right"/>
      <w:pPr>
        <w:ind w:left="4206" w:hanging="420"/>
      </w:pPr>
    </w:lvl>
  </w:abstractNum>
  <w:abstractNum w:abstractNumId="23">
    <w:nsid w:val="66E818E1"/>
    <w:multiLevelType w:val="multilevel"/>
    <w:tmpl w:val="66E818E1"/>
    <w:lvl w:ilvl="0" w:tentative="0">
      <w:start w:val="1"/>
      <w:numFmt w:val="chineseCountingThousand"/>
      <w:lvlText w:val="(%1)"/>
      <w:lvlJc w:val="left"/>
      <w:pPr>
        <w:ind w:left="840" w:hanging="420"/>
      </w:pPr>
      <w:rPr>
        <w:rFonts w:hint="eastAsia"/>
      </w:rPr>
    </w:lvl>
    <w:lvl w:ilvl="1" w:tentative="0">
      <w:start w:val="1"/>
      <w:numFmt w:val="lowerLetter"/>
      <w:lvlText w:val="%2)"/>
      <w:lvlJc w:val="left"/>
      <w:pPr>
        <w:ind w:left="1260" w:hanging="420"/>
      </w:pPr>
    </w:lvl>
    <w:lvl w:ilvl="2" w:tentative="0">
      <w:start w:val="1"/>
      <w:numFmt w:val="lowerRoman"/>
      <w:lvlText w:val="%3."/>
      <w:lvlJc w:val="right"/>
      <w:pPr>
        <w:ind w:left="1680" w:hanging="420"/>
      </w:pPr>
    </w:lvl>
    <w:lvl w:ilvl="3" w:tentative="0">
      <w:start w:val="1"/>
      <w:numFmt w:val="decimal"/>
      <w:lvlText w:val="%4."/>
      <w:lvlJc w:val="left"/>
      <w:pPr>
        <w:ind w:left="2100" w:hanging="420"/>
      </w:pPr>
    </w:lvl>
    <w:lvl w:ilvl="4" w:tentative="0">
      <w:start w:val="1"/>
      <w:numFmt w:val="lowerLetter"/>
      <w:lvlText w:val="%5)"/>
      <w:lvlJc w:val="left"/>
      <w:pPr>
        <w:ind w:left="2520" w:hanging="420"/>
      </w:pPr>
    </w:lvl>
    <w:lvl w:ilvl="5" w:tentative="0">
      <w:start w:val="1"/>
      <w:numFmt w:val="lowerRoman"/>
      <w:lvlText w:val="%6."/>
      <w:lvlJc w:val="right"/>
      <w:pPr>
        <w:ind w:left="2940" w:hanging="420"/>
      </w:pPr>
    </w:lvl>
    <w:lvl w:ilvl="6" w:tentative="0">
      <w:start w:val="1"/>
      <w:numFmt w:val="decimal"/>
      <w:lvlText w:val="%7."/>
      <w:lvlJc w:val="left"/>
      <w:pPr>
        <w:ind w:left="3360" w:hanging="420"/>
      </w:pPr>
    </w:lvl>
    <w:lvl w:ilvl="7" w:tentative="0">
      <w:start w:val="1"/>
      <w:numFmt w:val="lowerLetter"/>
      <w:lvlText w:val="%8)"/>
      <w:lvlJc w:val="left"/>
      <w:pPr>
        <w:ind w:left="3780" w:hanging="420"/>
      </w:pPr>
    </w:lvl>
    <w:lvl w:ilvl="8" w:tentative="0">
      <w:start w:val="1"/>
      <w:numFmt w:val="lowerRoman"/>
      <w:lvlText w:val="%9."/>
      <w:lvlJc w:val="right"/>
      <w:pPr>
        <w:ind w:left="4200" w:hanging="420"/>
      </w:pPr>
    </w:lvl>
  </w:abstractNum>
  <w:abstractNum w:abstractNumId="24">
    <w:nsid w:val="74A24184"/>
    <w:multiLevelType w:val="singleLevel"/>
    <w:tmpl w:val="74A24184"/>
    <w:lvl w:ilvl="0" w:tentative="0">
      <w:start w:val="1"/>
      <w:numFmt w:val="decimal"/>
      <w:suff w:val="space"/>
      <w:lvlText w:val="%1."/>
      <w:lvlJc w:val="left"/>
      <w:rPr>
        <w:rFonts w:asciiTheme="minorEastAsia" w:hAnsiTheme="minorEastAsia" w:eastAsiaTheme="minorEastAsia"/>
      </w:rPr>
    </w:lvl>
  </w:abstractNum>
  <w:abstractNum w:abstractNumId="25">
    <w:nsid w:val="7B3D17AB"/>
    <w:multiLevelType w:val="multilevel"/>
    <w:tmpl w:val="7B3D17AB"/>
    <w:lvl w:ilvl="0" w:tentative="0">
      <w:start w:val="1"/>
      <w:numFmt w:val="decimal"/>
      <w:suff w:val="space"/>
      <w:lvlText w:val="%1."/>
      <w:lvlJc w:val="left"/>
      <w:pPr>
        <w:ind w:left="987" w:hanging="420"/>
      </w:pPr>
      <w:rPr>
        <w:rFonts w:hint="eastAsia" w:asciiTheme="minorEastAsia" w:hAnsiTheme="minorEastAsia" w:eastAsiaTheme="minorEastAsia"/>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26">
    <w:nsid w:val="7E9D169C"/>
    <w:multiLevelType w:val="multilevel"/>
    <w:tmpl w:val="7E9D169C"/>
    <w:lvl w:ilvl="0" w:tentative="0">
      <w:start w:val="1"/>
      <w:numFmt w:val="decimal"/>
      <w:suff w:val="space"/>
      <w:lvlText w:val="%1."/>
      <w:lvlJc w:val="left"/>
      <w:pPr>
        <w:ind w:left="987" w:hanging="420"/>
      </w:pPr>
      <w:rPr>
        <w:rFonts w:hint="eastAsia"/>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num w:numId="1">
    <w:abstractNumId w:val="0"/>
  </w:num>
  <w:num w:numId="2">
    <w:abstractNumId w:val="1"/>
  </w:num>
  <w:num w:numId="3">
    <w:abstractNumId w:val="13"/>
  </w:num>
  <w:num w:numId="4">
    <w:abstractNumId w:val="3"/>
  </w:num>
  <w:num w:numId="5">
    <w:abstractNumId w:val="7"/>
  </w:num>
  <w:num w:numId="6">
    <w:abstractNumId w:val="22"/>
  </w:num>
  <w:num w:numId="7">
    <w:abstractNumId w:val="16"/>
  </w:num>
  <w:num w:numId="8">
    <w:abstractNumId w:val="20"/>
  </w:num>
  <w:num w:numId="9">
    <w:abstractNumId w:val="2"/>
  </w:num>
  <w:num w:numId="10">
    <w:abstractNumId w:val="18"/>
  </w:num>
  <w:num w:numId="11">
    <w:abstractNumId w:val="15"/>
  </w:num>
  <w:num w:numId="12">
    <w:abstractNumId w:val="4"/>
  </w:num>
  <w:num w:numId="13">
    <w:abstractNumId w:val="26"/>
  </w:num>
  <w:num w:numId="14">
    <w:abstractNumId w:val="11"/>
  </w:num>
  <w:num w:numId="15">
    <w:abstractNumId w:val="25"/>
  </w:num>
  <w:num w:numId="16">
    <w:abstractNumId w:val="12"/>
  </w:num>
  <w:num w:numId="17">
    <w:abstractNumId w:val="8"/>
  </w:num>
  <w:num w:numId="18">
    <w:abstractNumId w:val="21"/>
  </w:num>
  <w:num w:numId="19">
    <w:abstractNumId w:val="17"/>
  </w:num>
  <w:num w:numId="20">
    <w:abstractNumId w:val="9"/>
  </w:num>
  <w:num w:numId="21">
    <w:abstractNumId w:val="10"/>
  </w:num>
  <w:num w:numId="22">
    <w:abstractNumId w:val="5"/>
  </w:num>
  <w:num w:numId="23">
    <w:abstractNumId w:val="24"/>
  </w:num>
  <w:num w:numId="24">
    <w:abstractNumId w:val="14"/>
  </w:num>
  <w:num w:numId="25">
    <w:abstractNumId w:val="6"/>
  </w:num>
  <w:num w:numId="26">
    <w:abstractNumId w:val="23"/>
  </w:num>
  <w:num w:numId="27">
    <w:abstractNumId w:val="1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170"/>
  <w:drawingGridHorizontalSpacing w:val="170"/>
  <w:drawingGridVerticalSpacing w:val="156"/>
  <w:noPunctuationKerning w:val="1"/>
  <w:characterSpacingControl w:val="compressPunctuation"/>
  <w:doNotValidateAgainstSchema/>
  <w:doNotDemarcateInvalidXml/>
  <w:compat>
    <w:spaceForUL/>
    <w:balanceSingleByteDoubleByteWidth/>
    <w:doNotLeaveBackslashAlon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ZTAxNzk4NWUwNzQwZmZiMzBmYTJkN2M2OWZhM2U5ODIifQ=="/>
  </w:docVars>
  <w:rsids>
    <w:rsidRoot w:val="00172A27"/>
    <w:rsid w:val="000007F6"/>
    <w:rsid w:val="00000B58"/>
    <w:rsid w:val="000012F3"/>
    <w:rsid w:val="0000204A"/>
    <w:rsid w:val="000025E9"/>
    <w:rsid w:val="000026A8"/>
    <w:rsid w:val="00002A77"/>
    <w:rsid w:val="000037B2"/>
    <w:rsid w:val="00004189"/>
    <w:rsid w:val="00004C09"/>
    <w:rsid w:val="00004CC4"/>
    <w:rsid w:val="00004F3E"/>
    <w:rsid w:val="00004F9B"/>
    <w:rsid w:val="00005C3C"/>
    <w:rsid w:val="00006DB5"/>
    <w:rsid w:val="000079DB"/>
    <w:rsid w:val="00010E6B"/>
    <w:rsid w:val="000123FB"/>
    <w:rsid w:val="000128A4"/>
    <w:rsid w:val="000131B8"/>
    <w:rsid w:val="0001347F"/>
    <w:rsid w:val="00013699"/>
    <w:rsid w:val="00015781"/>
    <w:rsid w:val="000161CE"/>
    <w:rsid w:val="0001692F"/>
    <w:rsid w:val="00017316"/>
    <w:rsid w:val="00017F76"/>
    <w:rsid w:val="0002317B"/>
    <w:rsid w:val="00023CEC"/>
    <w:rsid w:val="00024516"/>
    <w:rsid w:val="00025C12"/>
    <w:rsid w:val="0002651D"/>
    <w:rsid w:val="00026632"/>
    <w:rsid w:val="000266ED"/>
    <w:rsid w:val="000268F6"/>
    <w:rsid w:val="00026F97"/>
    <w:rsid w:val="00026FBD"/>
    <w:rsid w:val="00027148"/>
    <w:rsid w:val="00027B42"/>
    <w:rsid w:val="00030C70"/>
    <w:rsid w:val="0003138E"/>
    <w:rsid w:val="000318F5"/>
    <w:rsid w:val="00031F2D"/>
    <w:rsid w:val="0003210C"/>
    <w:rsid w:val="000325AB"/>
    <w:rsid w:val="00033153"/>
    <w:rsid w:val="0003367B"/>
    <w:rsid w:val="000343C4"/>
    <w:rsid w:val="000343FC"/>
    <w:rsid w:val="00035290"/>
    <w:rsid w:val="0003652E"/>
    <w:rsid w:val="00036C3E"/>
    <w:rsid w:val="000377FD"/>
    <w:rsid w:val="000404C1"/>
    <w:rsid w:val="0004110D"/>
    <w:rsid w:val="00041652"/>
    <w:rsid w:val="00041794"/>
    <w:rsid w:val="00041AAE"/>
    <w:rsid w:val="000427BE"/>
    <w:rsid w:val="00042ED1"/>
    <w:rsid w:val="000447ED"/>
    <w:rsid w:val="00044947"/>
    <w:rsid w:val="00044B9F"/>
    <w:rsid w:val="00045332"/>
    <w:rsid w:val="00050712"/>
    <w:rsid w:val="00051320"/>
    <w:rsid w:val="0005146F"/>
    <w:rsid w:val="000519C6"/>
    <w:rsid w:val="0005229B"/>
    <w:rsid w:val="00053EF6"/>
    <w:rsid w:val="0005408B"/>
    <w:rsid w:val="00054B4C"/>
    <w:rsid w:val="00054C2B"/>
    <w:rsid w:val="00054C33"/>
    <w:rsid w:val="00054EEA"/>
    <w:rsid w:val="0005659E"/>
    <w:rsid w:val="00056696"/>
    <w:rsid w:val="00056EFE"/>
    <w:rsid w:val="00060017"/>
    <w:rsid w:val="000601EA"/>
    <w:rsid w:val="000603DD"/>
    <w:rsid w:val="00060862"/>
    <w:rsid w:val="00060C62"/>
    <w:rsid w:val="000611ED"/>
    <w:rsid w:val="000628C8"/>
    <w:rsid w:val="00062D96"/>
    <w:rsid w:val="000637DF"/>
    <w:rsid w:val="0006446F"/>
    <w:rsid w:val="00064FC8"/>
    <w:rsid w:val="000669B3"/>
    <w:rsid w:val="00066FFE"/>
    <w:rsid w:val="00067806"/>
    <w:rsid w:val="00067B01"/>
    <w:rsid w:val="000724DB"/>
    <w:rsid w:val="00072790"/>
    <w:rsid w:val="00072D6F"/>
    <w:rsid w:val="00072DDF"/>
    <w:rsid w:val="00073590"/>
    <w:rsid w:val="00075A35"/>
    <w:rsid w:val="00076375"/>
    <w:rsid w:val="00076EE7"/>
    <w:rsid w:val="0008046D"/>
    <w:rsid w:val="00080B88"/>
    <w:rsid w:val="00080C37"/>
    <w:rsid w:val="00081261"/>
    <w:rsid w:val="000822FE"/>
    <w:rsid w:val="00082A9F"/>
    <w:rsid w:val="00083E10"/>
    <w:rsid w:val="00083EF2"/>
    <w:rsid w:val="000849CC"/>
    <w:rsid w:val="00084D1D"/>
    <w:rsid w:val="00084FFF"/>
    <w:rsid w:val="0008532C"/>
    <w:rsid w:val="00085609"/>
    <w:rsid w:val="0008582F"/>
    <w:rsid w:val="00085AFB"/>
    <w:rsid w:val="0008787C"/>
    <w:rsid w:val="00087CC1"/>
    <w:rsid w:val="00087E91"/>
    <w:rsid w:val="00090863"/>
    <w:rsid w:val="00090923"/>
    <w:rsid w:val="00090E9C"/>
    <w:rsid w:val="00091411"/>
    <w:rsid w:val="00091EA8"/>
    <w:rsid w:val="00091FE3"/>
    <w:rsid w:val="000923C1"/>
    <w:rsid w:val="00092B73"/>
    <w:rsid w:val="000932E7"/>
    <w:rsid w:val="0009392F"/>
    <w:rsid w:val="00093D2C"/>
    <w:rsid w:val="00094623"/>
    <w:rsid w:val="000948B5"/>
    <w:rsid w:val="0009564A"/>
    <w:rsid w:val="00095B34"/>
    <w:rsid w:val="00095D23"/>
    <w:rsid w:val="00096046"/>
    <w:rsid w:val="00096C17"/>
    <w:rsid w:val="00096C34"/>
    <w:rsid w:val="00097C13"/>
    <w:rsid w:val="000A02D3"/>
    <w:rsid w:val="000A03C4"/>
    <w:rsid w:val="000A1AB5"/>
    <w:rsid w:val="000A1BA1"/>
    <w:rsid w:val="000A1C16"/>
    <w:rsid w:val="000A2D63"/>
    <w:rsid w:val="000A3F9B"/>
    <w:rsid w:val="000A400A"/>
    <w:rsid w:val="000A5406"/>
    <w:rsid w:val="000A55A0"/>
    <w:rsid w:val="000A5727"/>
    <w:rsid w:val="000A6860"/>
    <w:rsid w:val="000A6FAA"/>
    <w:rsid w:val="000A75D4"/>
    <w:rsid w:val="000A7CCC"/>
    <w:rsid w:val="000B1FF3"/>
    <w:rsid w:val="000B26BB"/>
    <w:rsid w:val="000B320C"/>
    <w:rsid w:val="000B3660"/>
    <w:rsid w:val="000B3F4E"/>
    <w:rsid w:val="000B44E9"/>
    <w:rsid w:val="000B45ED"/>
    <w:rsid w:val="000B5322"/>
    <w:rsid w:val="000B56FD"/>
    <w:rsid w:val="000B67B8"/>
    <w:rsid w:val="000B74EE"/>
    <w:rsid w:val="000B7F65"/>
    <w:rsid w:val="000C02EA"/>
    <w:rsid w:val="000C055D"/>
    <w:rsid w:val="000C0832"/>
    <w:rsid w:val="000C0945"/>
    <w:rsid w:val="000C14EA"/>
    <w:rsid w:val="000C1C91"/>
    <w:rsid w:val="000C27D3"/>
    <w:rsid w:val="000C281F"/>
    <w:rsid w:val="000C3CB7"/>
    <w:rsid w:val="000C3D75"/>
    <w:rsid w:val="000C3EC0"/>
    <w:rsid w:val="000C4990"/>
    <w:rsid w:val="000C4C7E"/>
    <w:rsid w:val="000C516A"/>
    <w:rsid w:val="000C5BA5"/>
    <w:rsid w:val="000C5E10"/>
    <w:rsid w:val="000C5E79"/>
    <w:rsid w:val="000C6F53"/>
    <w:rsid w:val="000C7A1B"/>
    <w:rsid w:val="000D05C2"/>
    <w:rsid w:val="000D0A1C"/>
    <w:rsid w:val="000D0D5D"/>
    <w:rsid w:val="000D0D66"/>
    <w:rsid w:val="000D1F18"/>
    <w:rsid w:val="000D27D1"/>
    <w:rsid w:val="000D32D6"/>
    <w:rsid w:val="000D4BF7"/>
    <w:rsid w:val="000D50F5"/>
    <w:rsid w:val="000D5267"/>
    <w:rsid w:val="000D5600"/>
    <w:rsid w:val="000D5A62"/>
    <w:rsid w:val="000D72E3"/>
    <w:rsid w:val="000D7E49"/>
    <w:rsid w:val="000E0C4A"/>
    <w:rsid w:val="000E13D9"/>
    <w:rsid w:val="000E2269"/>
    <w:rsid w:val="000E29A2"/>
    <w:rsid w:val="000E2AD2"/>
    <w:rsid w:val="000E2E79"/>
    <w:rsid w:val="000E38D3"/>
    <w:rsid w:val="000E40C9"/>
    <w:rsid w:val="000E498F"/>
    <w:rsid w:val="000E49BB"/>
    <w:rsid w:val="000E5267"/>
    <w:rsid w:val="000E5307"/>
    <w:rsid w:val="000E61E3"/>
    <w:rsid w:val="000E6468"/>
    <w:rsid w:val="000E7235"/>
    <w:rsid w:val="000E734A"/>
    <w:rsid w:val="000E794E"/>
    <w:rsid w:val="000F05E2"/>
    <w:rsid w:val="000F063C"/>
    <w:rsid w:val="000F08D8"/>
    <w:rsid w:val="000F0C0F"/>
    <w:rsid w:val="000F0CC1"/>
    <w:rsid w:val="000F16A4"/>
    <w:rsid w:val="000F172B"/>
    <w:rsid w:val="000F3485"/>
    <w:rsid w:val="000F3BDD"/>
    <w:rsid w:val="000F4B6F"/>
    <w:rsid w:val="000F4C51"/>
    <w:rsid w:val="000F56C6"/>
    <w:rsid w:val="000F56E0"/>
    <w:rsid w:val="000F6423"/>
    <w:rsid w:val="000F7015"/>
    <w:rsid w:val="00100283"/>
    <w:rsid w:val="001007F9"/>
    <w:rsid w:val="0010154A"/>
    <w:rsid w:val="0010184D"/>
    <w:rsid w:val="00101B17"/>
    <w:rsid w:val="001024B9"/>
    <w:rsid w:val="0010300F"/>
    <w:rsid w:val="001036A5"/>
    <w:rsid w:val="00103EEB"/>
    <w:rsid w:val="00105272"/>
    <w:rsid w:val="001053A9"/>
    <w:rsid w:val="00105937"/>
    <w:rsid w:val="001066CD"/>
    <w:rsid w:val="00107093"/>
    <w:rsid w:val="00107596"/>
    <w:rsid w:val="0010778B"/>
    <w:rsid w:val="00107B05"/>
    <w:rsid w:val="00107D76"/>
    <w:rsid w:val="001102F3"/>
    <w:rsid w:val="0011047A"/>
    <w:rsid w:val="00111DBC"/>
    <w:rsid w:val="00112008"/>
    <w:rsid w:val="001140AA"/>
    <w:rsid w:val="0011442F"/>
    <w:rsid w:val="00115241"/>
    <w:rsid w:val="001155DD"/>
    <w:rsid w:val="00115A45"/>
    <w:rsid w:val="00117C13"/>
    <w:rsid w:val="00120456"/>
    <w:rsid w:val="0012046B"/>
    <w:rsid w:val="00120A14"/>
    <w:rsid w:val="00120DDA"/>
    <w:rsid w:val="00120FA9"/>
    <w:rsid w:val="0012151C"/>
    <w:rsid w:val="001217FD"/>
    <w:rsid w:val="00121857"/>
    <w:rsid w:val="00122E1C"/>
    <w:rsid w:val="001232CD"/>
    <w:rsid w:val="001261EF"/>
    <w:rsid w:val="00126442"/>
    <w:rsid w:val="00126489"/>
    <w:rsid w:val="001274B3"/>
    <w:rsid w:val="001275D0"/>
    <w:rsid w:val="0013068E"/>
    <w:rsid w:val="001306B8"/>
    <w:rsid w:val="0013081B"/>
    <w:rsid w:val="00130CDB"/>
    <w:rsid w:val="00133056"/>
    <w:rsid w:val="0013343F"/>
    <w:rsid w:val="00133B80"/>
    <w:rsid w:val="00133FD7"/>
    <w:rsid w:val="0013615F"/>
    <w:rsid w:val="001362C4"/>
    <w:rsid w:val="00137907"/>
    <w:rsid w:val="0013798C"/>
    <w:rsid w:val="0014095A"/>
    <w:rsid w:val="00141E19"/>
    <w:rsid w:val="00141F13"/>
    <w:rsid w:val="001431F7"/>
    <w:rsid w:val="001432CB"/>
    <w:rsid w:val="001433F4"/>
    <w:rsid w:val="00143820"/>
    <w:rsid w:val="00145506"/>
    <w:rsid w:val="00145615"/>
    <w:rsid w:val="00145A52"/>
    <w:rsid w:val="00145B2D"/>
    <w:rsid w:val="00145EB9"/>
    <w:rsid w:val="00146620"/>
    <w:rsid w:val="001475BA"/>
    <w:rsid w:val="0014773D"/>
    <w:rsid w:val="00147C8E"/>
    <w:rsid w:val="00151340"/>
    <w:rsid w:val="001515CD"/>
    <w:rsid w:val="001516BE"/>
    <w:rsid w:val="00151AD8"/>
    <w:rsid w:val="00151B83"/>
    <w:rsid w:val="00152275"/>
    <w:rsid w:val="0015254D"/>
    <w:rsid w:val="0015281C"/>
    <w:rsid w:val="001539F6"/>
    <w:rsid w:val="00153C32"/>
    <w:rsid w:val="001559FE"/>
    <w:rsid w:val="00155DF9"/>
    <w:rsid w:val="00156254"/>
    <w:rsid w:val="001562B3"/>
    <w:rsid w:val="0015635D"/>
    <w:rsid w:val="00157D7C"/>
    <w:rsid w:val="00160B2D"/>
    <w:rsid w:val="00160FD2"/>
    <w:rsid w:val="001613B6"/>
    <w:rsid w:val="00161F06"/>
    <w:rsid w:val="0016393C"/>
    <w:rsid w:val="00163D49"/>
    <w:rsid w:val="00164233"/>
    <w:rsid w:val="00164C03"/>
    <w:rsid w:val="00165090"/>
    <w:rsid w:val="00165456"/>
    <w:rsid w:val="0016630C"/>
    <w:rsid w:val="00166513"/>
    <w:rsid w:val="0016674E"/>
    <w:rsid w:val="00167289"/>
    <w:rsid w:val="001675B0"/>
    <w:rsid w:val="00167CEB"/>
    <w:rsid w:val="0017146D"/>
    <w:rsid w:val="00171C94"/>
    <w:rsid w:val="00171D31"/>
    <w:rsid w:val="00171F09"/>
    <w:rsid w:val="00172A27"/>
    <w:rsid w:val="00173099"/>
    <w:rsid w:val="00173F50"/>
    <w:rsid w:val="0017428B"/>
    <w:rsid w:val="0017481B"/>
    <w:rsid w:val="00174DFE"/>
    <w:rsid w:val="0017501B"/>
    <w:rsid w:val="001767F7"/>
    <w:rsid w:val="00176D84"/>
    <w:rsid w:val="00176FDC"/>
    <w:rsid w:val="00177476"/>
    <w:rsid w:val="00180CEB"/>
    <w:rsid w:val="00181041"/>
    <w:rsid w:val="00181524"/>
    <w:rsid w:val="00182A41"/>
    <w:rsid w:val="0018321F"/>
    <w:rsid w:val="00183F2C"/>
    <w:rsid w:val="00183F55"/>
    <w:rsid w:val="001849C7"/>
    <w:rsid w:val="00186001"/>
    <w:rsid w:val="001867B1"/>
    <w:rsid w:val="00187146"/>
    <w:rsid w:val="00187291"/>
    <w:rsid w:val="00187DFC"/>
    <w:rsid w:val="0019012A"/>
    <w:rsid w:val="00190400"/>
    <w:rsid w:val="00190485"/>
    <w:rsid w:val="00190748"/>
    <w:rsid w:val="00190E48"/>
    <w:rsid w:val="00191660"/>
    <w:rsid w:val="00191C7B"/>
    <w:rsid w:val="00191DBE"/>
    <w:rsid w:val="00191E73"/>
    <w:rsid w:val="001920B1"/>
    <w:rsid w:val="0019328B"/>
    <w:rsid w:val="00193E4B"/>
    <w:rsid w:val="001941B7"/>
    <w:rsid w:val="001944E4"/>
    <w:rsid w:val="001962C4"/>
    <w:rsid w:val="001963D7"/>
    <w:rsid w:val="0019678A"/>
    <w:rsid w:val="00196DD0"/>
    <w:rsid w:val="0019761F"/>
    <w:rsid w:val="001A03A3"/>
    <w:rsid w:val="001A2097"/>
    <w:rsid w:val="001A21EC"/>
    <w:rsid w:val="001A29AA"/>
    <w:rsid w:val="001A2B3E"/>
    <w:rsid w:val="001A4709"/>
    <w:rsid w:val="001A5509"/>
    <w:rsid w:val="001A69D8"/>
    <w:rsid w:val="001B024B"/>
    <w:rsid w:val="001B1DF8"/>
    <w:rsid w:val="001B1F98"/>
    <w:rsid w:val="001B2ED8"/>
    <w:rsid w:val="001B32B0"/>
    <w:rsid w:val="001B39CF"/>
    <w:rsid w:val="001B3A78"/>
    <w:rsid w:val="001B5CDF"/>
    <w:rsid w:val="001B71DB"/>
    <w:rsid w:val="001B755B"/>
    <w:rsid w:val="001C00E3"/>
    <w:rsid w:val="001C073B"/>
    <w:rsid w:val="001C11E8"/>
    <w:rsid w:val="001C24C8"/>
    <w:rsid w:val="001C2EE5"/>
    <w:rsid w:val="001C3448"/>
    <w:rsid w:val="001C4A3B"/>
    <w:rsid w:val="001C4AE3"/>
    <w:rsid w:val="001C56DD"/>
    <w:rsid w:val="001C6184"/>
    <w:rsid w:val="001C697A"/>
    <w:rsid w:val="001C7863"/>
    <w:rsid w:val="001D2954"/>
    <w:rsid w:val="001D40F6"/>
    <w:rsid w:val="001D5172"/>
    <w:rsid w:val="001D54C6"/>
    <w:rsid w:val="001D6460"/>
    <w:rsid w:val="001D6FAE"/>
    <w:rsid w:val="001E0BDF"/>
    <w:rsid w:val="001E2971"/>
    <w:rsid w:val="001E2BB4"/>
    <w:rsid w:val="001E2C1C"/>
    <w:rsid w:val="001E3745"/>
    <w:rsid w:val="001E42BE"/>
    <w:rsid w:val="001E4491"/>
    <w:rsid w:val="001E4C09"/>
    <w:rsid w:val="001E5C4E"/>
    <w:rsid w:val="001E760B"/>
    <w:rsid w:val="001F0415"/>
    <w:rsid w:val="001F0784"/>
    <w:rsid w:val="001F0832"/>
    <w:rsid w:val="001F0CB7"/>
    <w:rsid w:val="001F10E2"/>
    <w:rsid w:val="001F1276"/>
    <w:rsid w:val="001F1469"/>
    <w:rsid w:val="001F1844"/>
    <w:rsid w:val="001F2913"/>
    <w:rsid w:val="001F2B6F"/>
    <w:rsid w:val="001F3873"/>
    <w:rsid w:val="001F3A34"/>
    <w:rsid w:val="001F3DCC"/>
    <w:rsid w:val="001F4402"/>
    <w:rsid w:val="001F5B7C"/>
    <w:rsid w:val="001F61DA"/>
    <w:rsid w:val="001F6A57"/>
    <w:rsid w:val="001F72DC"/>
    <w:rsid w:val="001F7EB1"/>
    <w:rsid w:val="002012EE"/>
    <w:rsid w:val="00201316"/>
    <w:rsid w:val="00202AC9"/>
    <w:rsid w:val="0020319A"/>
    <w:rsid w:val="00203836"/>
    <w:rsid w:val="0020461E"/>
    <w:rsid w:val="002051CA"/>
    <w:rsid w:val="002051E5"/>
    <w:rsid w:val="00205ECD"/>
    <w:rsid w:val="00207224"/>
    <w:rsid w:val="00207309"/>
    <w:rsid w:val="00207863"/>
    <w:rsid w:val="0020792C"/>
    <w:rsid w:val="00207A8F"/>
    <w:rsid w:val="00210B91"/>
    <w:rsid w:val="00210BE6"/>
    <w:rsid w:val="002111C4"/>
    <w:rsid w:val="002116A9"/>
    <w:rsid w:val="0021190F"/>
    <w:rsid w:val="002121F7"/>
    <w:rsid w:val="0021354C"/>
    <w:rsid w:val="00213B74"/>
    <w:rsid w:val="002156C7"/>
    <w:rsid w:val="002161EE"/>
    <w:rsid w:val="002170D2"/>
    <w:rsid w:val="002178D5"/>
    <w:rsid w:val="00221409"/>
    <w:rsid w:val="00221C70"/>
    <w:rsid w:val="00221CE9"/>
    <w:rsid w:val="0022211E"/>
    <w:rsid w:val="00222967"/>
    <w:rsid w:val="00222BFB"/>
    <w:rsid w:val="002234AB"/>
    <w:rsid w:val="00223AF1"/>
    <w:rsid w:val="002240CA"/>
    <w:rsid w:val="0022434D"/>
    <w:rsid w:val="00224667"/>
    <w:rsid w:val="00225387"/>
    <w:rsid w:val="00225882"/>
    <w:rsid w:val="00225EA9"/>
    <w:rsid w:val="00226278"/>
    <w:rsid w:val="00226B25"/>
    <w:rsid w:val="002305DB"/>
    <w:rsid w:val="002307C6"/>
    <w:rsid w:val="0023152B"/>
    <w:rsid w:val="00231FDC"/>
    <w:rsid w:val="00232258"/>
    <w:rsid w:val="0023261E"/>
    <w:rsid w:val="00232C2A"/>
    <w:rsid w:val="0023376C"/>
    <w:rsid w:val="002339F2"/>
    <w:rsid w:val="002343DC"/>
    <w:rsid w:val="002359D8"/>
    <w:rsid w:val="0023621C"/>
    <w:rsid w:val="002367A0"/>
    <w:rsid w:val="00236865"/>
    <w:rsid w:val="00236DFF"/>
    <w:rsid w:val="002379E1"/>
    <w:rsid w:val="00241428"/>
    <w:rsid w:val="00241C95"/>
    <w:rsid w:val="002428D6"/>
    <w:rsid w:val="00242B6A"/>
    <w:rsid w:val="0024331C"/>
    <w:rsid w:val="00243D74"/>
    <w:rsid w:val="0024500E"/>
    <w:rsid w:val="0024762D"/>
    <w:rsid w:val="002476C8"/>
    <w:rsid w:val="002478F2"/>
    <w:rsid w:val="00247BD6"/>
    <w:rsid w:val="00247C9C"/>
    <w:rsid w:val="00253348"/>
    <w:rsid w:val="00253659"/>
    <w:rsid w:val="00253896"/>
    <w:rsid w:val="0025445F"/>
    <w:rsid w:val="0025472B"/>
    <w:rsid w:val="00254CE6"/>
    <w:rsid w:val="0025501C"/>
    <w:rsid w:val="00257729"/>
    <w:rsid w:val="0025775D"/>
    <w:rsid w:val="002603C6"/>
    <w:rsid w:val="0026047F"/>
    <w:rsid w:val="002605F3"/>
    <w:rsid w:val="00260E6B"/>
    <w:rsid w:val="00260F36"/>
    <w:rsid w:val="0026120B"/>
    <w:rsid w:val="002616D4"/>
    <w:rsid w:val="00261A3B"/>
    <w:rsid w:val="00262009"/>
    <w:rsid w:val="00262390"/>
    <w:rsid w:val="0026320B"/>
    <w:rsid w:val="00264089"/>
    <w:rsid w:val="00264E6F"/>
    <w:rsid w:val="0026505F"/>
    <w:rsid w:val="00265939"/>
    <w:rsid w:val="00266182"/>
    <w:rsid w:val="002664E5"/>
    <w:rsid w:val="002668B8"/>
    <w:rsid w:val="00266DA4"/>
    <w:rsid w:val="00267068"/>
    <w:rsid w:val="002670C8"/>
    <w:rsid w:val="002679AF"/>
    <w:rsid w:val="00267C2B"/>
    <w:rsid w:val="00267E65"/>
    <w:rsid w:val="00270E60"/>
    <w:rsid w:val="0027170C"/>
    <w:rsid w:val="002718C8"/>
    <w:rsid w:val="00272A24"/>
    <w:rsid w:val="002743FC"/>
    <w:rsid w:val="00274AB2"/>
    <w:rsid w:val="00274C87"/>
    <w:rsid w:val="00276053"/>
    <w:rsid w:val="002763FA"/>
    <w:rsid w:val="00276722"/>
    <w:rsid w:val="00276E32"/>
    <w:rsid w:val="0027764C"/>
    <w:rsid w:val="002776AF"/>
    <w:rsid w:val="002803B7"/>
    <w:rsid w:val="002804F6"/>
    <w:rsid w:val="00280DEF"/>
    <w:rsid w:val="00280F80"/>
    <w:rsid w:val="00282570"/>
    <w:rsid w:val="002827A1"/>
    <w:rsid w:val="002839D9"/>
    <w:rsid w:val="002839EA"/>
    <w:rsid w:val="00285626"/>
    <w:rsid w:val="0028594C"/>
    <w:rsid w:val="00285BED"/>
    <w:rsid w:val="00286521"/>
    <w:rsid w:val="002871A1"/>
    <w:rsid w:val="0028748A"/>
    <w:rsid w:val="002907EE"/>
    <w:rsid w:val="00290B68"/>
    <w:rsid w:val="00290D1B"/>
    <w:rsid w:val="002915FB"/>
    <w:rsid w:val="00292341"/>
    <w:rsid w:val="00294596"/>
    <w:rsid w:val="002949B2"/>
    <w:rsid w:val="00294B44"/>
    <w:rsid w:val="00294EAF"/>
    <w:rsid w:val="00295217"/>
    <w:rsid w:val="0029547D"/>
    <w:rsid w:val="0029630C"/>
    <w:rsid w:val="002974BA"/>
    <w:rsid w:val="0029789B"/>
    <w:rsid w:val="00297EF5"/>
    <w:rsid w:val="002A0274"/>
    <w:rsid w:val="002A05A6"/>
    <w:rsid w:val="002A0D56"/>
    <w:rsid w:val="002A0F44"/>
    <w:rsid w:val="002A1E12"/>
    <w:rsid w:val="002A2F26"/>
    <w:rsid w:val="002A2FEA"/>
    <w:rsid w:val="002A3A23"/>
    <w:rsid w:val="002A41B0"/>
    <w:rsid w:val="002A453C"/>
    <w:rsid w:val="002A4FE2"/>
    <w:rsid w:val="002A5009"/>
    <w:rsid w:val="002A637B"/>
    <w:rsid w:val="002A6FAF"/>
    <w:rsid w:val="002A6FF1"/>
    <w:rsid w:val="002A70F6"/>
    <w:rsid w:val="002A753C"/>
    <w:rsid w:val="002B01BF"/>
    <w:rsid w:val="002B10E0"/>
    <w:rsid w:val="002B1170"/>
    <w:rsid w:val="002B14F2"/>
    <w:rsid w:val="002B1939"/>
    <w:rsid w:val="002B203D"/>
    <w:rsid w:val="002B297A"/>
    <w:rsid w:val="002B2B5F"/>
    <w:rsid w:val="002B301E"/>
    <w:rsid w:val="002B376E"/>
    <w:rsid w:val="002B569D"/>
    <w:rsid w:val="002B5DD2"/>
    <w:rsid w:val="002B63AC"/>
    <w:rsid w:val="002B6D37"/>
    <w:rsid w:val="002B7760"/>
    <w:rsid w:val="002C0C48"/>
    <w:rsid w:val="002C162A"/>
    <w:rsid w:val="002C2124"/>
    <w:rsid w:val="002C2554"/>
    <w:rsid w:val="002C25E9"/>
    <w:rsid w:val="002C3088"/>
    <w:rsid w:val="002C3D42"/>
    <w:rsid w:val="002C5193"/>
    <w:rsid w:val="002C5A1A"/>
    <w:rsid w:val="002C666F"/>
    <w:rsid w:val="002C6B32"/>
    <w:rsid w:val="002C6D94"/>
    <w:rsid w:val="002D137F"/>
    <w:rsid w:val="002D2EF0"/>
    <w:rsid w:val="002D3545"/>
    <w:rsid w:val="002D4565"/>
    <w:rsid w:val="002D4C90"/>
    <w:rsid w:val="002D4EDB"/>
    <w:rsid w:val="002D504D"/>
    <w:rsid w:val="002D5104"/>
    <w:rsid w:val="002D562B"/>
    <w:rsid w:val="002D58F7"/>
    <w:rsid w:val="002D5D35"/>
    <w:rsid w:val="002D5FD4"/>
    <w:rsid w:val="002D6A41"/>
    <w:rsid w:val="002D6E42"/>
    <w:rsid w:val="002D6F21"/>
    <w:rsid w:val="002D72CC"/>
    <w:rsid w:val="002D7B15"/>
    <w:rsid w:val="002E0C55"/>
    <w:rsid w:val="002E0EFB"/>
    <w:rsid w:val="002E14CC"/>
    <w:rsid w:val="002E22A5"/>
    <w:rsid w:val="002E29D9"/>
    <w:rsid w:val="002E55F9"/>
    <w:rsid w:val="002E6568"/>
    <w:rsid w:val="002F0281"/>
    <w:rsid w:val="002F1EE9"/>
    <w:rsid w:val="002F347B"/>
    <w:rsid w:val="002F3705"/>
    <w:rsid w:val="002F3BBA"/>
    <w:rsid w:val="002F4ACB"/>
    <w:rsid w:val="002F4B84"/>
    <w:rsid w:val="002F6329"/>
    <w:rsid w:val="002F6BD0"/>
    <w:rsid w:val="002F6FCB"/>
    <w:rsid w:val="002F717F"/>
    <w:rsid w:val="003000A6"/>
    <w:rsid w:val="00301926"/>
    <w:rsid w:val="003019CD"/>
    <w:rsid w:val="0030288B"/>
    <w:rsid w:val="0030403B"/>
    <w:rsid w:val="00305757"/>
    <w:rsid w:val="00305ADF"/>
    <w:rsid w:val="00307DA8"/>
    <w:rsid w:val="00307FD5"/>
    <w:rsid w:val="003114D4"/>
    <w:rsid w:val="00313020"/>
    <w:rsid w:val="003137F7"/>
    <w:rsid w:val="003144F2"/>
    <w:rsid w:val="003149A0"/>
    <w:rsid w:val="003149D9"/>
    <w:rsid w:val="00314F72"/>
    <w:rsid w:val="0031510D"/>
    <w:rsid w:val="0031643A"/>
    <w:rsid w:val="003167C3"/>
    <w:rsid w:val="00316E0F"/>
    <w:rsid w:val="00317305"/>
    <w:rsid w:val="00320981"/>
    <w:rsid w:val="003214A8"/>
    <w:rsid w:val="0032271F"/>
    <w:rsid w:val="003233CB"/>
    <w:rsid w:val="00323670"/>
    <w:rsid w:val="00323719"/>
    <w:rsid w:val="003237CF"/>
    <w:rsid w:val="00323C54"/>
    <w:rsid w:val="0032490C"/>
    <w:rsid w:val="0032565D"/>
    <w:rsid w:val="00325F58"/>
    <w:rsid w:val="00326476"/>
    <w:rsid w:val="0032785F"/>
    <w:rsid w:val="0033256E"/>
    <w:rsid w:val="00332A10"/>
    <w:rsid w:val="003336EC"/>
    <w:rsid w:val="003338C7"/>
    <w:rsid w:val="003340C6"/>
    <w:rsid w:val="0033447A"/>
    <w:rsid w:val="00335AAB"/>
    <w:rsid w:val="00335B8F"/>
    <w:rsid w:val="00335F33"/>
    <w:rsid w:val="0033667D"/>
    <w:rsid w:val="00337435"/>
    <w:rsid w:val="0033772E"/>
    <w:rsid w:val="00337C90"/>
    <w:rsid w:val="00340241"/>
    <w:rsid w:val="00340AA5"/>
    <w:rsid w:val="003413A8"/>
    <w:rsid w:val="00342E77"/>
    <w:rsid w:val="003436A8"/>
    <w:rsid w:val="00344DAC"/>
    <w:rsid w:val="0035176F"/>
    <w:rsid w:val="00351AD2"/>
    <w:rsid w:val="00351F7E"/>
    <w:rsid w:val="00352FD8"/>
    <w:rsid w:val="00353625"/>
    <w:rsid w:val="00355CB1"/>
    <w:rsid w:val="003562EF"/>
    <w:rsid w:val="00356FB1"/>
    <w:rsid w:val="00357154"/>
    <w:rsid w:val="00357596"/>
    <w:rsid w:val="00357F60"/>
    <w:rsid w:val="0036090D"/>
    <w:rsid w:val="0036110F"/>
    <w:rsid w:val="00361A74"/>
    <w:rsid w:val="00362239"/>
    <w:rsid w:val="00362B89"/>
    <w:rsid w:val="00363290"/>
    <w:rsid w:val="00364D1A"/>
    <w:rsid w:val="00364D43"/>
    <w:rsid w:val="00365505"/>
    <w:rsid w:val="00366250"/>
    <w:rsid w:val="003666B3"/>
    <w:rsid w:val="003668B8"/>
    <w:rsid w:val="00366910"/>
    <w:rsid w:val="00366C60"/>
    <w:rsid w:val="00367406"/>
    <w:rsid w:val="00367D65"/>
    <w:rsid w:val="00367EB2"/>
    <w:rsid w:val="00370714"/>
    <w:rsid w:val="0037077D"/>
    <w:rsid w:val="003708C7"/>
    <w:rsid w:val="00370B93"/>
    <w:rsid w:val="00370C81"/>
    <w:rsid w:val="00370E63"/>
    <w:rsid w:val="003710FE"/>
    <w:rsid w:val="003721E5"/>
    <w:rsid w:val="00372532"/>
    <w:rsid w:val="00372554"/>
    <w:rsid w:val="00372CD6"/>
    <w:rsid w:val="00372D05"/>
    <w:rsid w:val="003742E9"/>
    <w:rsid w:val="003748B8"/>
    <w:rsid w:val="00374DE9"/>
    <w:rsid w:val="003758EA"/>
    <w:rsid w:val="00376382"/>
    <w:rsid w:val="00377651"/>
    <w:rsid w:val="00377E1E"/>
    <w:rsid w:val="00380A3E"/>
    <w:rsid w:val="0038169C"/>
    <w:rsid w:val="0038183F"/>
    <w:rsid w:val="00382253"/>
    <w:rsid w:val="00382C5A"/>
    <w:rsid w:val="00383440"/>
    <w:rsid w:val="00383CC4"/>
    <w:rsid w:val="003841D5"/>
    <w:rsid w:val="00384875"/>
    <w:rsid w:val="0038522D"/>
    <w:rsid w:val="003863A7"/>
    <w:rsid w:val="00386625"/>
    <w:rsid w:val="00386895"/>
    <w:rsid w:val="00387172"/>
    <w:rsid w:val="0039048C"/>
    <w:rsid w:val="00390DF2"/>
    <w:rsid w:val="00391393"/>
    <w:rsid w:val="00391DFD"/>
    <w:rsid w:val="0039256C"/>
    <w:rsid w:val="003930D1"/>
    <w:rsid w:val="00393E0F"/>
    <w:rsid w:val="00394D29"/>
    <w:rsid w:val="00395B97"/>
    <w:rsid w:val="003963E5"/>
    <w:rsid w:val="00396C7F"/>
    <w:rsid w:val="003970E6"/>
    <w:rsid w:val="00397E6B"/>
    <w:rsid w:val="003A33AC"/>
    <w:rsid w:val="003A3531"/>
    <w:rsid w:val="003A4609"/>
    <w:rsid w:val="003A4DE2"/>
    <w:rsid w:val="003A6860"/>
    <w:rsid w:val="003A693B"/>
    <w:rsid w:val="003A7BE9"/>
    <w:rsid w:val="003A7CB5"/>
    <w:rsid w:val="003A7D10"/>
    <w:rsid w:val="003B02F2"/>
    <w:rsid w:val="003B1CB1"/>
    <w:rsid w:val="003B1CBC"/>
    <w:rsid w:val="003B2CE1"/>
    <w:rsid w:val="003B3315"/>
    <w:rsid w:val="003B3B87"/>
    <w:rsid w:val="003B48B4"/>
    <w:rsid w:val="003B4C06"/>
    <w:rsid w:val="003B4E09"/>
    <w:rsid w:val="003B51EA"/>
    <w:rsid w:val="003B5335"/>
    <w:rsid w:val="003B5817"/>
    <w:rsid w:val="003B5B27"/>
    <w:rsid w:val="003B5EDE"/>
    <w:rsid w:val="003B60CD"/>
    <w:rsid w:val="003B63BF"/>
    <w:rsid w:val="003B6617"/>
    <w:rsid w:val="003B76F8"/>
    <w:rsid w:val="003B79C1"/>
    <w:rsid w:val="003C0B46"/>
    <w:rsid w:val="003C12FB"/>
    <w:rsid w:val="003C20FA"/>
    <w:rsid w:val="003C25A6"/>
    <w:rsid w:val="003C2DEC"/>
    <w:rsid w:val="003C2E36"/>
    <w:rsid w:val="003C3502"/>
    <w:rsid w:val="003C3ED1"/>
    <w:rsid w:val="003C45A3"/>
    <w:rsid w:val="003C4C07"/>
    <w:rsid w:val="003C4EB2"/>
    <w:rsid w:val="003C5782"/>
    <w:rsid w:val="003C6E45"/>
    <w:rsid w:val="003C7A8C"/>
    <w:rsid w:val="003D09D4"/>
    <w:rsid w:val="003D0A76"/>
    <w:rsid w:val="003D0FE5"/>
    <w:rsid w:val="003D1CED"/>
    <w:rsid w:val="003D2A27"/>
    <w:rsid w:val="003D31D4"/>
    <w:rsid w:val="003D3438"/>
    <w:rsid w:val="003D5097"/>
    <w:rsid w:val="003D5390"/>
    <w:rsid w:val="003D53C2"/>
    <w:rsid w:val="003D5955"/>
    <w:rsid w:val="003D5D62"/>
    <w:rsid w:val="003D6A98"/>
    <w:rsid w:val="003D7504"/>
    <w:rsid w:val="003D7E93"/>
    <w:rsid w:val="003E0C3D"/>
    <w:rsid w:val="003E11B2"/>
    <w:rsid w:val="003E1315"/>
    <w:rsid w:val="003E14C5"/>
    <w:rsid w:val="003E17E4"/>
    <w:rsid w:val="003E1813"/>
    <w:rsid w:val="003E26DA"/>
    <w:rsid w:val="003E2A22"/>
    <w:rsid w:val="003E54AC"/>
    <w:rsid w:val="003E550F"/>
    <w:rsid w:val="003E5B6D"/>
    <w:rsid w:val="003E5DB1"/>
    <w:rsid w:val="003E70DF"/>
    <w:rsid w:val="003E7438"/>
    <w:rsid w:val="003E750C"/>
    <w:rsid w:val="003F0917"/>
    <w:rsid w:val="003F168C"/>
    <w:rsid w:val="003F1F0E"/>
    <w:rsid w:val="003F3111"/>
    <w:rsid w:val="003F36E9"/>
    <w:rsid w:val="003F37B5"/>
    <w:rsid w:val="003F3F38"/>
    <w:rsid w:val="003F48C6"/>
    <w:rsid w:val="003F6331"/>
    <w:rsid w:val="003F68EE"/>
    <w:rsid w:val="003F6E53"/>
    <w:rsid w:val="003F7F26"/>
    <w:rsid w:val="00400EF8"/>
    <w:rsid w:val="004029CC"/>
    <w:rsid w:val="0040516A"/>
    <w:rsid w:val="00405D60"/>
    <w:rsid w:val="00405F49"/>
    <w:rsid w:val="004060FA"/>
    <w:rsid w:val="00406167"/>
    <w:rsid w:val="004063AD"/>
    <w:rsid w:val="00406B62"/>
    <w:rsid w:val="00406F2B"/>
    <w:rsid w:val="0040718B"/>
    <w:rsid w:val="0041070C"/>
    <w:rsid w:val="00410972"/>
    <w:rsid w:val="00410995"/>
    <w:rsid w:val="00410E10"/>
    <w:rsid w:val="00411A13"/>
    <w:rsid w:val="00411C0C"/>
    <w:rsid w:val="00411E64"/>
    <w:rsid w:val="0041223F"/>
    <w:rsid w:val="004133AE"/>
    <w:rsid w:val="004134F8"/>
    <w:rsid w:val="00413747"/>
    <w:rsid w:val="004139C2"/>
    <w:rsid w:val="00414372"/>
    <w:rsid w:val="004148F8"/>
    <w:rsid w:val="00414F6B"/>
    <w:rsid w:val="00415491"/>
    <w:rsid w:val="00415ED9"/>
    <w:rsid w:val="004179B7"/>
    <w:rsid w:val="00417E25"/>
    <w:rsid w:val="00420DB7"/>
    <w:rsid w:val="0042191B"/>
    <w:rsid w:val="00422B1E"/>
    <w:rsid w:val="00423445"/>
    <w:rsid w:val="00424DED"/>
    <w:rsid w:val="00425266"/>
    <w:rsid w:val="00426681"/>
    <w:rsid w:val="00426BF0"/>
    <w:rsid w:val="00426EE7"/>
    <w:rsid w:val="00427489"/>
    <w:rsid w:val="0042751F"/>
    <w:rsid w:val="0043045F"/>
    <w:rsid w:val="00431EB5"/>
    <w:rsid w:val="004320C0"/>
    <w:rsid w:val="004325FB"/>
    <w:rsid w:val="00432633"/>
    <w:rsid w:val="004330C7"/>
    <w:rsid w:val="00433E43"/>
    <w:rsid w:val="00435C35"/>
    <w:rsid w:val="0043662C"/>
    <w:rsid w:val="00437A41"/>
    <w:rsid w:val="0044093A"/>
    <w:rsid w:val="0044098C"/>
    <w:rsid w:val="00441688"/>
    <w:rsid w:val="00441AC1"/>
    <w:rsid w:val="00442A8D"/>
    <w:rsid w:val="00442CCC"/>
    <w:rsid w:val="004438A6"/>
    <w:rsid w:val="0044396E"/>
    <w:rsid w:val="00446318"/>
    <w:rsid w:val="00446FD2"/>
    <w:rsid w:val="00447332"/>
    <w:rsid w:val="00447481"/>
    <w:rsid w:val="00447945"/>
    <w:rsid w:val="00447BB8"/>
    <w:rsid w:val="00447BFA"/>
    <w:rsid w:val="004507E9"/>
    <w:rsid w:val="004509F0"/>
    <w:rsid w:val="00451138"/>
    <w:rsid w:val="00451F43"/>
    <w:rsid w:val="00452918"/>
    <w:rsid w:val="0045321B"/>
    <w:rsid w:val="004538A7"/>
    <w:rsid w:val="00455DB3"/>
    <w:rsid w:val="00456AA2"/>
    <w:rsid w:val="0045736A"/>
    <w:rsid w:val="004574BE"/>
    <w:rsid w:val="004609DC"/>
    <w:rsid w:val="0046160B"/>
    <w:rsid w:val="00462779"/>
    <w:rsid w:val="004630EA"/>
    <w:rsid w:val="00463226"/>
    <w:rsid w:val="00463501"/>
    <w:rsid w:val="0046413E"/>
    <w:rsid w:val="00464913"/>
    <w:rsid w:val="00464E88"/>
    <w:rsid w:val="004659CD"/>
    <w:rsid w:val="004669BA"/>
    <w:rsid w:val="00467294"/>
    <w:rsid w:val="0046738B"/>
    <w:rsid w:val="004674F9"/>
    <w:rsid w:val="00467D6A"/>
    <w:rsid w:val="004702E8"/>
    <w:rsid w:val="00470787"/>
    <w:rsid w:val="0047087C"/>
    <w:rsid w:val="00471011"/>
    <w:rsid w:val="00471D41"/>
    <w:rsid w:val="00471EB1"/>
    <w:rsid w:val="00472B4D"/>
    <w:rsid w:val="00473B55"/>
    <w:rsid w:val="00473CBA"/>
    <w:rsid w:val="0047451A"/>
    <w:rsid w:val="00475646"/>
    <w:rsid w:val="00475FA1"/>
    <w:rsid w:val="00476463"/>
    <w:rsid w:val="004771DD"/>
    <w:rsid w:val="00477B3E"/>
    <w:rsid w:val="00477E30"/>
    <w:rsid w:val="00480D7E"/>
    <w:rsid w:val="00482646"/>
    <w:rsid w:val="004838E7"/>
    <w:rsid w:val="00483B7C"/>
    <w:rsid w:val="00484C4C"/>
    <w:rsid w:val="00485D03"/>
    <w:rsid w:val="00486B07"/>
    <w:rsid w:val="00493F51"/>
    <w:rsid w:val="00494D4E"/>
    <w:rsid w:val="00495E1E"/>
    <w:rsid w:val="004964CC"/>
    <w:rsid w:val="00496B33"/>
    <w:rsid w:val="004973B5"/>
    <w:rsid w:val="004A03D3"/>
    <w:rsid w:val="004A1746"/>
    <w:rsid w:val="004A18BB"/>
    <w:rsid w:val="004A1CE9"/>
    <w:rsid w:val="004A2E19"/>
    <w:rsid w:val="004A319A"/>
    <w:rsid w:val="004A3B9D"/>
    <w:rsid w:val="004A3C84"/>
    <w:rsid w:val="004A408A"/>
    <w:rsid w:val="004A4B03"/>
    <w:rsid w:val="004A690C"/>
    <w:rsid w:val="004A6C35"/>
    <w:rsid w:val="004A7E64"/>
    <w:rsid w:val="004B0280"/>
    <w:rsid w:val="004B0302"/>
    <w:rsid w:val="004B15E6"/>
    <w:rsid w:val="004B1987"/>
    <w:rsid w:val="004B20BD"/>
    <w:rsid w:val="004B28C1"/>
    <w:rsid w:val="004B312F"/>
    <w:rsid w:val="004B3D5E"/>
    <w:rsid w:val="004B504E"/>
    <w:rsid w:val="004B5811"/>
    <w:rsid w:val="004B5FA9"/>
    <w:rsid w:val="004B7878"/>
    <w:rsid w:val="004C074F"/>
    <w:rsid w:val="004C0E2B"/>
    <w:rsid w:val="004C1CD6"/>
    <w:rsid w:val="004C2381"/>
    <w:rsid w:val="004C3332"/>
    <w:rsid w:val="004C47F7"/>
    <w:rsid w:val="004C4849"/>
    <w:rsid w:val="004C4968"/>
    <w:rsid w:val="004C5C2C"/>
    <w:rsid w:val="004C5E85"/>
    <w:rsid w:val="004C66C2"/>
    <w:rsid w:val="004C6CC5"/>
    <w:rsid w:val="004C72CC"/>
    <w:rsid w:val="004C7FE7"/>
    <w:rsid w:val="004D1074"/>
    <w:rsid w:val="004D249F"/>
    <w:rsid w:val="004D3003"/>
    <w:rsid w:val="004D3EF2"/>
    <w:rsid w:val="004D3F7F"/>
    <w:rsid w:val="004D498C"/>
    <w:rsid w:val="004D4D9C"/>
    <w:rsid w:val="004D53EB"/>
    <w:rsid w:val="004D595D"/>
    <w:rsid w:val="004D5F8B"/>
    <w:rsid w:val="004D72C8"/>
    <w:rsid w:val="004D7C5D"/>
    <w:rsid w:val="004E0C53"/>
    <w:rsid w:val="004E0C75"/>
    <w:rsid w:val="004E1CE6"/>
    <w:rsid w:val="004E2538"/>
    <w:rsid w:val="004E2933"/>
    <w:rsid w:val="004E2F0C"/>
    <w:rsid w:val="004E3213"/>
    <w:rsid w:val="004E3791"/>
    <w:rsid w:val="004E39FD"/>
    <w:rsid w:val="004E42E0"/>
    <w:rsid w:val="004E51FE"/>
    <w:rsid w:val="004E5318"/>
    <w:rsid w:val="004E5681"/>
    <w:rsid w:val="004E5C90"/>
    <w:rsid w:val="004E5CBB"/>
    <w:rsid w:val="004E5EDC"/>
    <w:rsid w:val="004E6583"/>
    <w:rsid w:val="004E659D"/>
    <w:rsid w:val="004E6635"/>
    <w:rsid w:val="004E6DCE"/>
    <w:rsid w:val="004E757F"/>
    <w:rsid w:val="004F025C"/>
    <w:rsid w:val="004F0D35"/>
    <w:rsid w:val="004F0DB5"/>
    <w:rsid w:val="004F16B1"/>
    <w:rsid w:val="004F3FD2"/>
    <w:rsid w:val="004F4EBE"/>
    <w:rsid w:val="004F558F"/>
    <w:rsid w:val="004F6963"/>
    <w:rsid w:val="004F7143"/>
    <w:rsid w:val="004F731E"/>
    <w:rsid w:val="004F7347"/>
    <w:rsid w:val="00500077"/>
    <w:rsid w:val="00500857"/>
    <w:rsid w:val="00500F72"/>
    <w:rsid w:val="005010D6"/>
    <w:rsid w:val="0050123D"/>
    <w:rsid w:val="005019B8"/>
    <w:rsid w:val="00501BBA"/>
    <w:rsid w:val="00501DDF"/>
    <w:rsid w:val="00502FEE"/>
    <w:rsid w:val="005049C8"/>
    <w:rsid w:val="00504FD6"/>
    <w:rsid w:val="005055C8"/>
    <w:rsid w:val="00505707"/>
    <w:rsid w:val="0050613E"/>
    <w:rsid w:val="005065F7"/>
    <w:rsid w:val="005068A6"/>
    <w:rsid w:val="0050738E"/>
    <w:rsid w:val="00507830"/>
    <w:rsid w:val="00507DF8"/>
    <w:rsid w:val="005108A6"/>
    <w:rsid w:val="00510D82"/>
    <w:rsid w:val="00510FE5"/>
    <w:rsid w:val="005114D5"/>
    <w:rsid w:val="00511DCD"/>
    <w:rsid w:val="005122C6"/>
    <w:rsid w:val="0051230D"/>
    <w:rsid w:val="0051283C"/>
    <w:rsid w:val="00512B97"/>
    <w:rsid w:val="005131BD"/>
    <w:rsid w:val="00514524"/>
    <w:rsid w:val="00514845"/>
    <w:rsid w:val="00516E9C"/>
    <w:rsid w:val="0051712A"/>
    <w:rsid w:val="005172FF"/>
    <w:rsid w:val="00517394"/>
    <w:rsid w:val="00517B90"/>
    <w:rsid w:val="0052251F"/>
    <w:rsid w:val="00522713"/>
    <w:rsid w:val="005235C0"/>
    <w:rsid w:val="00524161"/>
    <w:rsid w:val="00525319"/>
    <w:rsid w:val="00526576"/>
    <w:rsid w:val="0052672F"/>
    <w:rsid w:val="00531002"/>
    <w:rsid w:val="005328F4"/>
    <w:rsid w:val="00533EE0"/>
    <w:rsid w:val="0053470B"/>
    <w:rsid w:val="00534F23"/>
    <w:rsid w:val="00535280"/>
    <w:rsid w:val="00535A27"/>
    <w:rsid w:val="00535C51"/>
    <w:rsid w:val="00536111"/>
    <w:rsid w:val="005363BD"/>
    <w:rsid w:val="00536548"/>
    <w:rsid w:val="00536B5B"/>
    <w:rsid w:val="005378BB"/>
    <w:rsid w:val="00537C6C"/>
    <w:rsid w:val="0054096D"/>
    <w:rsid w:val="005411D9"/>
    <w:rsid w:val="005418CA"/>
    <w:rsid w:val="00541BE6"/>
    <w:rsid w:val="00542939"/>
    <w:rsid w:val="005435C2"/>
    <w:rsid w:val="0054409E"/>
    <w:rsid w:val="005440D9"/>
    <w:rsid w:val="0054479B"/>
    <w:rsid w:val="00544F0D"/>
    <w:rsid w:val="00545CA4"/>
    <w:rsid w:val="00545E03"/>
    <w:rsid w:val="00546CD2"/>
    <w:rsid w:val="00546FE2"/>
    <w:rsid w:val="00547D9D"/>
    <w:rsid w:val="0055030C"/>
    <w:rsid w:val="005506B7"/>
    <w:rsid w:val="0055129F"/>
    <w:rsid w:val="00551BFE"/>
    <w:rsid w:val="0055208A"/>
    <w:rsid w:val="00552804"/>
    <w:rsid w:val="00552D15"/>
    <w:rsid w:val="0055343E"/>
    <w:rsid w:val="00553FB4"/>
    <w:rsid w:val="005541F4"/>
    <w:rsid w:val="0055469B"/>
    <w:rsid w:val="005547DF"/>
    <w:rsid w:val="005566B7"/>
    <w:rsid w:val="005568FA"/>
    <w:rsid w:val="00556B56"/>
    <w:rsid w:val="005570A5"/>
    <w:rsid w:val="005571C9"/>
    <w:rsid w:val="00557749"/>
    <w:rsid w:val="005605D9"/>
    <w:rsid w:val="00562769"/>
    <w:rsid w:val="005630C3"/>
    <w:rsid w:val="00563D9C"/>
    <w:rsid w:val="00564173"/>
    <w:rsid w:val="0056570D"/>
    <w:rsid w:val="00567B65"/>
    <w:rsid w:val="005702A4"/>
    <w:rsid w:val="00570596"/>
    <w:rsid w:val="00570C4E"/>
    <w:rsid w:val="00571018"/>
    <w:rsid w:val="00572743"/>
    <w:rsid w:val="00573407"/>
    <w:rsid w:val="00573CEE"/>
    <w:rsid w:val="00574113"/>
    <w:rsid w:val="005741D5"/>
    <w:rsid w:val="00574304"/>
    <w:rsid w:val="00574DBF"/>
    <w:rsid w:val="00574E32"/>
    <w:rsid w:val="00580115"/>
    <w:rsid w:val="0058076B"/>
    <w:rsid w:val="00581098"/>
    <w:rsid w:val="00581A4A"/>
    <w:rsid w:val="00581B06"/>
    <w:rsid w:val="00581D29"/>
    <w:rsid w:val="00583AE7"/>
    <w:rsid w:val="00583FA3"/>
    <w:rsid w:val="00585D90"/>
    <w:rsid w:val="00585FC4"/>
    <w:rsid w:val="0058613B"/>
    <w:rsid w:val="005865A9"/>
    <w:rsid w:val="00586D47"/>
    <w:rsid w:val="0058764B"/>
    <w:rsid w:val="00590C82"/>
    <w:rsid w:val="00591047"/>
    <w:rsid w:val="00591741"/>
    <w:rsid w:val="00591BD5"/>
    <w:rsid w:val="00591D33"/>
    <w:rsid w:val="00592C6F"/>
    <w:rsid w:val="0059371A"/>
    <w:rsid w:val="00593C3E"/>
    <w:rsid w:val="00593E6E"/>
    <w:rsid w:val="00594697"/>
    <w:rsid w:val="005949E8"/>
    <w:rsid w:val="00595712"/>
    <w:rsid w:val="005964FD"/>
    <w:rsid w:val="0059688F"/>
    <w:rsid w:val="00597A36"/>
    <w:rsid w:val="00597E3C"/>
    <w:rsid w:val="005A0BE9"/>
    <w:rsid w:val="005A1828"/>
    <w:rsid w:val="005A1C32"/>
    <w:rsid w:val="005A3415"/>
    <w:rsid w:val="005A4701"/>
    <w:rsid w:val="005A472F"/>
    <w:rsid w:val="005A57CC"/>
    <w:rsid w:val="005A6081"/>
    <w:rsid w:val="005A68FF"/>
    <w:rsid w:val="005A6991"/>
    <w:rsid w:val="005A729C"/>
    <w:rsid w:val="005B0122"/>
    <w:rsid w:val="005B06B3"/>
    <w:rsid w:val="005B0C47"/>
    <w:rsid w:val="005B14A0"/>
    <w:rsid w:val="005B2350"/>
    <w:rsid w:val="005B398E"/>
    <w:rsid w:val="005B39DF"/>
    <w:rsid w:val="005B5551"/>
    <w:rsid w:val="005B6D1D"/>
    <w:rsid w:val="005B6D92"/>
    <w:rsid w:val="005B707D"/>
    <w:rsid w:val="005B7601"/>
    <w:rsid w:val="005C013D"/>
    <w:rsid w:val="005C06D5"/>
    <w:rsid w:val="005C19E7"/>
    <w:rsid w:val="005C27A3"/>
    <w:rsid w:val="005C3204"/>
    <w:rsid w:val="005C344B"/>
    <w:rsid w:val="005C38A6"/>
    <w:rsid w:val="005C3D46"/>
    <w:rsid w:val="005C403F"/>
    <w:rsid w:val="005C550C"/>
    <w:rsid w:val="005C5B33"/>
    <w:rsid w:val="005C643D"/>
    <w:rsid w:val="005C7193"/>
    <w:rsid w:val="005C73FA"/>
    <w:rsid w:val="005C78AB"/>
    <w:rsid w:val="005C78BF"/>
    <w:rsid w:val="005C7BC1"/>
    <w:rsid w:val="005C7D20"/>
    <w:rsid w:val="005D068E"/>
    <w:rsid w:val="005D0BDB"/>
    <w:rsid w:val="005D1300"/>
    <w:rsid w:val="005D15E0"/>
    <w:rsid w:val="005D2F57"/>
    <w:rsid w:val="005D3317"/>
    <w:rsid w:val="005D3B0F"/>
    <w:rsid w:val="005D5D1D"/>
    <w:rsid w:val="005D5FF9"/>
    <w:rsid w:val="005D6F90"/>
    <w:rsid w:val="005D76A8"/>
    <w:rsid w:val="005D7738"/>
    <w:rsid w:val="005E17EB"/>
    <w:rsid w:val="005E1D5E"/>
    <w:rsid w:val="005E1D7A"/>
    <w:rsid w:val="005E3F66"/>
    <w:rsid w:val="005E5536"/>
    <w:rsid w:val="005E583A"/>
    <w:rsid w:val="005E58BC"/>
    <w:rsid w:val="005E5DA9"/>
    <w:rsid w:val="005E676F"/>
    <w:rsid w:val="005F0726"/>
    <w:rsid w:val="005F0CBE"/>
    <w:rsid w:val="005F100A"/>
    <w:rsid w:val="005F12DA"/>
    <w:rsid w:val="005F1541"/>
    <w:rsid w:val="005F24ED"/>
    <w:rsid w:val="005F2878"/>
    <w:rsid w:val="005F3F41"/>
    <w:rsid w:val="005F49F0"/>
    <w:rsid w:val="005F53A4"/>
    <w:rsid w:val="005F56DF"/>
    <w:rsid w:val="005F6009"/>
    <w:rsid w:val="005F6C49"/>
    <w:rsid w:val="005F7492"/>
    <w:rsid w:val="005F79F7"/>
    <w:rsid w:val="005F7DB7"/>
    <w:rsid w:val="006004D4"/>
    <w:rsid w:val="006013F6"/>
    <w:rsid w:val="00601581"/>
    <w:rsid w:val="0060187A"/>
    <w:rsid w:val="00601BCF"/>
    <w:rsid w:val="00603759"/>
    <w:rsid w:val="00603EE4"/>
    <w:rsid w:val="006043FC"/>
    <w:rsid w:val="00604CDC"/>
    <w:rsid w:val="006050EE"/>
    <w:rsid w:val="00605347"/>
    <w:rsid w:val="00605E23"/>
    <w:rsid w:val="00606025"/>
    <w:rsid w:val="00606116"/>
    <w:rsid w:val="006062D3"/>
    <w:rsid w:val="00606880"/>
    <w:rsid w:val="00607871"/>
    <w:rsid w:val="006101A8"/>
    <w:rsid w:val="0061156A"/>
    <w:rsid w:val="00611588"/>
    <w:rsid w:val="00612729"/>
    <w:rsid w:val="00612777"/>
    <w:rsid w:val="00612EF9"/>
    <w:rsid w:val="006133B8"/>
    <w:rsid w:val="00613794"/>
    <w:rsid w:val="0061379A"/>
    <w:rsid w:val="00613C23"/>
    <w:rsid w:val="00614878"/>
    <w:rsid w:val="0061585D"/>
    <w:rsid w:val="00615925"/>
    <w:rsid w:val="0061602C"/>
    <w:rsid w:val="0061639F"/>
    <w:rsid w:val="00616E0F"/>
    <w:rsid w:val="0061787E"/>
    <w:rsid w:val="006178FF"/>
    <w:rsid w:val="00617EC0"/>
    <w:rsid w:val="00617EDF"/>
    <w:rsid w:val="00620942"/>
    <w:rsid w:val="00620982"/>
    <w:rsid w:val="00620D68"/>
    <w:rsid w:val="00620D7E"/>
    <w:rsid w:val="00620EAC"/>
    <w:rsid w:val="00621037"/>
    <w:rsid w:val="006213C8"/>
    <w:rsid w:val="00621604"/>
    <w:rsid w:val="006219F1"/>
    <w:rsid w:val="00622540"/>
    <w:rsid w:val="0062289C"/>
    <w:rsid w:val="00622973"/>
    <w:rsid w:val="00622BDD"/>
    <w:rsid w:val="0062425F"/>
    <w:rsid w:val="00624B3A"/>
    <w:rsid w:val="00624D5C"/>
    <w:rsid w:val="00624E79"/>
    <w:rsid w:val="006250C8"/>
    <w:rsid w:val="006258A1"/>
    <w:rsid w:val="006264A5"/>
    <w:rsid w:val="00626D28"/>
    <w:rsid w:val="0062796F"/>
    <w:rsid w:val="00627CD1"/>
    <w:rsid w:val="00631338"/>
    <w:rsid w:val="006314EB"/>
    <w:rsid w:val="0063162F"/>
    <w:rsid w:val="0063182A"/>
    <w:rsid w:val="00632CF7"/>
    <w:rsid w:val="00633E7A"/>
    <w:rsid w:val="00633EC5"/>
    <w:rsid w:val="00634043"/>
    <w:rsid w:val="0063438C"/>
    <w:rsid w:val="006345D3"/>
    <w:rsid w:val="0063581E"/>
    <w:rsid w:val="00635D91"/>
    <w:rsid w:val="006364D7"/>
    <w:rsid w:val="006374CA"/>
    <w:rsid w:val="00637C2E"/>
    <w:rsid w:val="006411A5"/>
    <w:rsid w:val="00641842"/>
    <w:rsid w:val="00641A21"/>
    <w:rsid w:val="006428C4"/>
    <w:rsid w:val="00643EE0"/>
    <w:rsid w:val="00644563"/>
    <w:rsid w:val="00644E21"/>
    <w:rsid w:val="00644F75"/>
    <w:rsid w:val="006452D6"/>
    <w:rsid w:val="00645A46"/>
    <w:rsid w:val="00645FEB"/>
    <w:rsid w:val="00646B85"/>
    <w:rsid w:val="00646E0D"/>
    <w:rsid w:val="00646EB2"/>
    <w:rsid w:val="0065056A"/>
    <w:rsid w:val="006507CC"/>
    <w:rsid w:val="00651108"/>
    <w:rsid w:val="00651ABF"/>
    <w:rsid w:val="00651B24"/>
    <w:rsid w:val="006522E2"/>
    <w:rsid w:val="006525D9"/>
    <w:rsid w:val="00652EC5"/>
    <w:rsid w:val="00653066"/>
    <w:rsid w:val="0065311F"/>
    <w:rsid w:val="006535F7"/>
    <w:rsid w:val="00654693"/>
    <w:rsid w:val="00654A19"/>
    <w:rsid w:val="00654B32"/>
    <w:rsid w:val="00654C0E"/>
    <w:rsid w:val="006550DE"/>
    <w:rsid w:val="00655700"/>
    <w:rsid w:val="00656D23"/>
    <w:rsid w:val="00657A04"/>
    <w:rsid w:val="00657F1C"/>
    <w:rsid w:val="006604B9"/>
    <w:rsid w:val="0066091F"/>
    <w:rsid w:val="006613F4"/>
    <w:rsid w:val="00661A55"/>
    <w:rsid w:val="00662166"/>
    <w:rsid w:val="006624A4"/>
    <w:rsid w:val="00662F9B"/>
    <w:rsid w:val="00662FC6"/>
    <w:rsid w:val="006630EE"/>
    <w:rsid w:val="006635DA"/>
    <w:rsid w:val="0066366D"/>
    <w:rsid w:val="00664226"/>
    <w:rsid w:val="0066438B"/>
    <w:rsid w:val="006644F5"/>
    <w:rsid w:val="0066486B"/>
    <w:rsid w:val="006649A6"/>
    <w:rsid w:val="00665446"/>
    <w:rsid w:val="00665751"/>
    <w:rsid w:val="00665889"/>
    <w:rsid w:val="006665B1"/>
    <w:rsid w:val="00666626"/>
    <w:rsid w:val="00666EB2"/>
    <w:rsid w:val="00667AD1"/>
    <w:rsid w:val="006705A6"/>
    <w:rsid w:val="00670822"/>
    <w:rsid w:val="00670859"/>
    <w:rsid w:val="006711AE"/>
    <w:rsid w:val="00671DC5"/>
    <w:rsid w:val="00672244"/>
    <w:rsid w:val="00672996"/>
    <w:rsid w:val="0067473F"/>
    <w:rsid w:val="00674F25"/>
    <w:rsid w:val="0067515B"/>
    <w:rsid w:val="0067571A"/>
    <w:rsid w:val="00676025"/>
    <w:rsid w:val="00676594"/>
    <w:rsid w:val="00676B47"/>
    <w:rsid w:val="006773F5"/>
    <w:rsid w:val="006778D9"/>
    <w:rsid w:val="00677C6D"/>
    <w:rsid w:val="006807BD"/>
    <w:rsid w:val="006811C6"/>
    <w:rsid w:val="006814C7"/>
    <w:rsid w:val="00681742"/>
    <w:rsid w:val="00681761"/>
    <w:rsid w:val="00682968"/>
    <w:rsid w:val="00682997"/>
    <w:rsid w:val="006831D7"/>
    <w:rsid w:val="00684031"/>
    <w:rsid w:val="006843F1"/>
    <w:rsid w:val="0068458E"/>
    <w:rsid w:val="0068492C"/>
    <w:rsid w:val="00684B99"/>
    <w:rsid w:val="00685130"/>
    <w:rsid w:val="00685409"/>
    <w:rsid w:val="006856DC"/>
    <w:rsid w:val="00685E3F"/>
    <w:rsid w:val="0068649C"/>
    <w:rsid w:val="00686FE4"/>
    <w:rsid w:val="00687D89"/>
    <w:rsid w:val="00690AD0"/>
    <w:rsid w:val="006914F7"/>
    <w:rsid w:val="00691692"/>
    <w:rsid w:val="00692E0D"/>
    <w:rsid w:val="00692FFF"/>
    <w:rsid w:val="006933BA"/>
    <w:rsid w:val="006938BB"/>
    <w:rsid w:val="00693B98"/>
    <w:rsid w:val="00694A65"/>
    <w:rsid w:val="00694CD0"/>
    <w:rsid w:val="00694D30"/>
    <w:rsid w:val="006953F1"/>
    <w:rsid w:val="0069690C"/>
    <w:rsid w:val="00696AA8"/>
    <w:rsid w:val="00696BEC"/>
    <w:rsid w:val="006971D6"/>
    <w:rsid w:val="00697AA6"/>
    <w:rsid w:val="006A0A57"/>
    <w:rsid w:val="006A110F"/>
    <w:rsid w:val="006A1BAD"/>
    <w:rsid w:val="006A2250"/>
    <w:rsid w:val="006A30EF"/>
    <w:rsid w:val="006A3B8A"/>
    <w:rsid w:val="006A4BE4"/>
    <w:rsid w:val="006A4CDA"/>
    <w:rsid w:val="006A4D3E"/>
    <w:rsid w:val="006A598F"/>
    <w:rsid w:val="006A5D73"/>
    <w:rsid w:val="006A78F7"/>
    <w:rsid w:val="006B030E"/>
    <w:rsid w:val="006B04AD"/>
    <w:rsid w:val="006B1086"/>
    <w:rsid w:val="006B1AE7"/>
    <w:rsid w:val="006B3545"/>
    <w:rsid w:val="006B3557"/>
    <w:rsid w:val="006B3B32"/>
    <w:rsid w:val="006B43FD"/>
    <w:rsid w:val="006B4C5E"/>
    <w:rsid w:val="006B5B9A"/>
    <w:rsid w:val="006B5E3E"/>
    <w:rsid w:val="006B6001"/>
    <w:rsid w:val="006B6E5E"/>
    <w:rsid w:val="006B6F68"/>
    <w:rsid w:val="006C004E"/>
    <w:rsid w:val="006C02E9"/>
    <w:rsid w:val="006C0558"/>
    <w:rsid w:val="006C11F2"/>
    <w:rsid w:val="006C1387"/>
    <w:rsid w:val="006C1D3C"/>
    <w:rsid w:val="006C283D"/>
    <w:rsid w:val="006C450D"/>
    <w:rsid w:val="006C47CA"/>
    <w:rsid w:val="006C51F2"/>
    <w:rsid w:val="006C5515"/>
    <w:rsid w:val="006C562C"/>
    <w:rsid w:val="006C5761"/>
    <w:rsid w:val="006C660E"/>
    <w:rsid w:val="006C6AA5"/>
    <w:rsid w:val="006C6E9E"/>
    <w:rsid w:val="006C715A"/>
    <w:rsid w:val="006D1A33"/>
    <w:rsid w:val="006D1E74"/>
    <w:rsid w:val="006D1F57"/>
    <w:rsid w:val="006D3539"/>
    <w:rsid w:val="006D3A64"/>
    <w:rsid w:val="006D3CFB"/>
    <w:rsid w:val="006D43A7"/>
    <w:rsid w:val="006D50C8"/>
    <w:rsid w:val="006D6323"/>
    <w:rsid w:val="006D6612"/>
    <w:rsid w:val="006D692D"/>
    <w:rsid w:val="006D6E04"/>
    <w:rsid w:val="006D6EE2"/>
    <w:rsid w:val="006D79F1"/>
    <w:rsid w:val="006D7B1E"/>
    <w:rsid w:val="006D7CFD"/>
    <w:rsid w:val="006E07E3"/>
    <w:rsid w:val="006E0F98"/>
    <w:rsid w:val="006E0FC7"/>
    <w:rsid w:val="006E1A7F"/>
    <w:rsid w:val="006E24F8"/>
    <w:rsid w:val="006E2F65"/>
    <w:rsid w:val="006E318A"/>
    <w:rsid w:val="006E3DB2"/>
    <w:rsid w:val="006E426A"/>
    <w:rsid w:val="006E54F8"/>
    <w:rsid w:val="006E744B"/>
    <w:rsid w:val="006E7A6B"/>
    <w:rsid w:val="006F055A"/>
    <w:rsid w:val="006F0629"/>
    <w:rsid w:val="006F32EF"/>
    <w:rsid w:val="006F356F"/>
    <w:rsid w:val="006F3635"/>
    <w:rsid w:val="006F39DA"/>
    <w:rsid w:val="006F4227"/>
    <w:rsid w:val="006F472A"/>
    <w:rsid w:val="006F5326"/>
    <w:rsid w:val="006F5E81"/>
    <w:rsid w:val="006F5F97"/>
    <w:rsid w:val="006F7011"/>
    <w:rsid w:val="00700374"/>
    <w:rsid w:val="00700DF2"/>
    <w:rsid w:val="00700E9D"/>
    <w:rsid w:val="00700FE3"/>
    <w:rsid w:val="00701581"/>
    <w:rsid w:val="00701834"/>
    <w:rsid w:val="00702D8B"/>
    <w:rsid w:val="0070318C"/>
    <w:rsid w:val="00703352"/>
    <w:rsid w:val="00704149"/>
    <w:rsid w:val="007044C8"/>
    <w:rsid w:val="00704B49"/>
    <w:rsid w:val="00704C8C"/>
    <w:rsid w:val="007068B3"/>
    <w:rsid w:val="00706B50"/>
    <w:rsid w:val="00706D92"/>
    <w:rsid w:val="00706DC8"/>
    <w:rsid w:val="00707242"/>
    <w:rsid w:val="00707F23"/>
    <w:rsid w:val="007102EF"/>
    <w:rsid w:val="0071067F"/>
    <w:rsid w:val="0071091E"/>
    <w:rsid w:val="00713D93"/>
    <w:rsid w:val="007142F1"/>
    <w:rsid w:val="007145FB"/>
    <w:rsid w:val="0071533D"/>
    <w:rsid w:val="007156D6"/>
    <w:rsid w:val="00715C59"/>
    <w:rsid w:val="00715DDD"/>
    <w:rsid w:val="00716479"/>
    <w:rsid w:val="0071686D"/>
    <w:rsid w:val="00717A0C"/>
    <w:rsid w:val="007205A5"/>
    <w:rsid w:val="007208C3"/>
    <w:rsid w:val="00720C33"/>
    <w:rsid w:val="00721675"/>
    <w:rsid w:val="0072282C"/>
    <w:rsid w:val="0072329C"/>
    <w:rsid w:val="00723BB2"/>
    <w:rsid w:val="00724F64"/>
    <w:rsid w:val="007251E8"/>
    <w:rsid w:val="007254CE"/>
    <w:rsid w:val="00725E3D"/>
    <w:rsid w:val="00725EA5"/>
    <w:rsid w:val="007264DB"/>
    <w:rsid w:val="007271AE"/>
    <w:rsid w:val="007301E7"/>
    <w:rsid w:val="0073022C"/>
    <w:rsid w:val="007302C2"/>
    <w:rsid w:val="00731B57"/>
    <w:rsid w:val="00732AF8"/>
    <w:rsid w:val="00733FA1"/>
    <w:rsid w:val="007347A1"/>
    <w:rsid w:val="007365A9"/>
    <w:rsid w:val="0073787E"/>
    <w:rsid w:val="007402E0"/>
    <w:rsid w:val="00742096"/>
    <w:rsid w:val="00742A5F"/>
    <w:rsid w:val="00742B54"/>
    <w:rsid w:val="007436D7"/>
    <w:rsid w:val="00743D31"/>
    <w:rsid w:val="00743DA1"/>
    <w:rsid w:val="00744E5A"/>
    <w:rsid w:val="00745231"/>
    <w:rsid w:val="00747279"/>
    <w:rsid w:val="00747506"/>
    <w:rsid w:val="00750CFA"/>
    <w:rsid w:val="007519D8"/>
    <w:rsid w:val="00751D9F"/>
    <w:rsid w:val="00752806"/>
    <w:rsid w:val="00754697"/>
    <w:rsid w:val="0075598F"/>
    <w:rsid w:val="007577EE"/>
    <w:rsid w:val="00757A44"/>
    <w:rsid w:val="0076027A"/>
    <w:rsid w:val="007604B9"/>
    <w:rsid w:val="007619C6"/>
    <w:rsid w:val="00761A14"/>
    <w:rsid w:val="00761B63"/>
    <w:rsid w:val="0076250B"/>
    <w:rsid w:val="00763025"/>
    <w:rsid w:val="007649EF"/>
    <w:rsid w:val="00764F58"/>
    <w:rsid w:val="007652EC"/>
    <w:rsid w:val="00765980"/>
    <w:rsid w:val="00765A7F"/>
    <w:rsid w:val="007666DB"/>
    <w:rsid w:val="00766914"/>
    <w:rsid w:val="00766924"/>
    <w:rsid w:val="0077018D"/>
    <w:rsid w:val="00770580"/>
    <w:rsid w:val="00770758"/>
    <w:rsid w:val="00770F06"/>
    <w:rsid w:val="00772003"/>
    <w:rsid w:val="007724AF"/>
    <w:rsid w:val="00775852"/>
    <w:rsid w:val="00776108"/>
    <w:rsid w:val="00777186"/>
    <w:rsid w:val="007775B0"/>
    <w:rsid w:val="00777C73"/>
    <w:rsid w:val="00777E1A"/>
    <w:rsid w:val="0078075D"/>
    <w:rsid w:val="007813C9"/>
    <w:rsid w:val="00781B9C"/>
    <w:rsid w:val="0078268D"/>
    <w:rsid w:val="00784650"/>
    <w:rsid w:val="00785509"/>
    <w:rsid w:val="00786131"/>
    <w:rsid w:val="00786B2D"/>
    <w:rsid w:val="007871A1"/>
    <w:rsid w:val="0078728C"/>
    <w:rsid w:val="007876D0"/>
    <w:rsid w:val="007876F2"/>
    <w:rsid w:val="007907BD"/>
    <w:rsid w:val="00790B12"/>
    <w:rsid w:val="00791A6A"/>
    <w:rsid w:val="00791C63"/>
    <w:rsid w:val="00791F59"/>
    <w:rsid w:val="0079369C"/>
    <w:rsid w:val="0079451D"/>
    <w:rsid w:val="00794850"/>
    <w:rsid w:val="00794D0E"/>
    <w:rsid w:val="00794EDA"/>
    <w:rsid w:val="00794F55"/>
    <w:rsid w:val="007963F7"/>
    <w:rsid w:val="00796D38"/>
    <w:rsid w:val="00797212"/>
    <w:rsid w:val="00797E41"/>
    <w:rsid w:val="007A0B74"/>
    <w:rsid w:val="007A1997"/>
    <w:rsid w:val="007A227D"/>
    <w:rsid w:val="007A2B8B"/>
    <w:rsid w:val="007A2C47"/>
    <w:rsid w:val="007A333E"/>
    <w:rsid w:val="007A3D15"/>
    <w:rsid w:val="007A3E8A"/>
    <w:rsid w:val="007A3EE1"/>
    <w:rsid w:val="007A433C"/>
    <w:rsid w:val="007A47AF"/>
    <w:rsid w:val="007A4980"/>
    <w:rsid w:val="007A5133"/>
    <w:rsid w:val="007A51E7"/>
    <w:rsid w:val="007A729E"/>
    <w:rsid w:val="007B0314"/>
    <w:rsid w:val="007B04A1"/>
    <w:rsid w:val="007B10DE"/>
    <w:rsid w:val="007B1B53"/>
    <w:rsid w:val="007B1D0A"/>
    <w:rsid w:val="007B2969"/>
    <w:rsid w:val="007B2D09"/>
    <w:rsid w:val="007B3008"/>
    <w:rsid w:val="007B4A3E"/>
    <w:rsid w:val="007B5278"/>
    <w:rsid w:val="007B53A6"/>
    <w:rsid w:val="007B54B8"/>
    <w:rsid w:val="007B6B3B"/>
    <w:rsid w:val="007B7AEB"/>
    <w:rsid w:val="007B7BFF"/>
    <w:rsid w:val="007B7CF0"/>
    <w:rsid w:val="007C0508"/>
    <w:rsid w:val="007C083E"/>
    <w:rsid w:val="007C150A"/>
    <w:rsid w:val="007C16DF"/>
    <w:rsid w:val="007C1D0B"/>
    <w:rsid w:val="007C1F62"/>
    <w:rsid w:val="007C4265"/>
    <w:rsid w:val="007C49BD"/>
    <w:rsid w:val="007C4DC9"/>
    <w:rsid w:val="007C4EDC"/>
    <w:rsid w:val="007C5415"/>
    <w:rsid w:val="007C5697"/>
    <w:rsid w:val="007C5CF7"/>
    <w:rsid w:val="007C5F87"/>
    <w:rsid w:val="007C601A"/>
    <w:rsid w:val="007C6F42"/>
    <w:rsid w:val="007C75F1"/>
    <w:rsid w:val="007C7962"/>
    <w:rsid w:val="007D07B0"/>
    <w:rsid w:val="007D2E74"/>
    <w:rsid w:val="007D3F72"/>
    <w:rsid w:val="007D41C8"/>
    <w:rsid w:val="007D55A7"/>
    <w:rsid w:val="007D5C90"/>
    <w:rsid w:val="007D684A"/>
    <w:rsid w:val="007D69BC"/>
    <w:rsid w:val="007D69DF"/>
    <w:rsid w:val="007D6F3C"/>
    <w:rsid w:val="007D7154"/>
    <w:rsid w:val="007D7776"/>
    <w:rsid w:val="007D79EF"/>
    <w:rsid w:val="007D7B7E"/>
    <w:rsid w:val="007D7DF5"/>
    <w:rsid w:val="007E05F2"/>
    <w:rsid w:val="007E0B3A"/>
    <w:rsid w:val="007E1531"/>
    <w:rsid w:val="007E1C00"/>
    <w:rsid w:val="007E1E52"/>
    <w:rsid w:val="007E2CDE"/>
    <w:rsid w:val="007E4130"/>
    <w:rsid w:val="007E67BD"/>
    <w:rsid w:val="007E6E9D"/>
    <w:rsid w:val="007E7908"/>
    <w:rsid w:val="007F00D0"/>
    <w:rsid w:val="007F00F3"/>
    <w:rsid w:val="007F03F9"/>
    <w:rsid w:val="007F101D"/>
    <w:rsid w:val="007F1C9E"/>
    <w:rsid w:val="007F2D77"/>
    <w:rsid w:val="007F3264"/>
    <w:rsid w:val="007F5079"/>
    <w:rsid w:val="007F5454"/>
    <w:rsid w:val="007F5880"/>
    <w:rsid w:val="007F6265"/>
    <w:rsid w:val="007F6322"/>
    <w:rsid w:val="007F7321"/>
    <w:rsid w:val="007F7888"/>
    <w:rsid w:val="008014C2"/>
    <w:rsid w:val="00801571"/>
    <w:rsid w:val="00801A64"/>
    <w:rsid w:val="008023D9"/>
    <w:rsid w:val="008028DB"/>
    <w:rsid w:val="00803316"/>
    <w:rsid w:val="0080369B"/>
    <w:rsid w:val="00803B58"/>
    <w:rsid w:val="00803F72"/>
    <w:rsid w:val="00803FF7"/>
    <w:rsid w:val="00804358"/>
    <w:rsid w:val="008044D5"/>
    <w:rsid w:val="00804E87"/>
    <w:rsid w:val="00804FA4"/>
    <w:rsid w:val="00806364"/>
    <w:rsid w:val="008065CB"/>
    <w:rsid w:val="0080752D"/>
    <w:rsid w:val="008103E8"/>
    <w:rsid w:val="00811A02"/>
    <w:rsid w:val="00811F19"/>
    <w:rsid w:val="00812693"/>
    <w:rsid w:val="00812D6B"/>
    <w:rsid w:val="00812E40"/>
    <w:rsid w:val="008133CF"/>
    <w:rsid w:val="0081351D"/>
    <w:rsid w:val="008144CD"/>
    <w:rsid w:val="00814C8B"/>
    <w:rsid w:val="00815C6E"/>
    <w:rsid w:val="00815DB9"/>
    <w:rsid w:val="00815FF0"/>
    <w:rsid w:val="008161F3"/>
    <w:rsid w:val="00816235"/>
    <w:rsid w:val="0081660C"/>
    <w:rsid w:val="0081676D"/>
    <w:rsid w:val="00817717"/>
    <w:rsid w:val="008209C3"/>
    <w:rsid w:val="00822B08"/>
    <w:rsid w:val="00822CB4"/>
    <w:rsid w:val="00823244"/>
    <w:rsid w:val="008237B2"/>
    <w:rsid w:val="00824184"/>
    <w:rsid w:val="00824327"/>
    <w:rsid w:val="008250C7"/>
    <w:rsid w:val="00825173"/>
    <w:rsid w:val="00826196"/>
    <w:rsid w:val="008261C3"/>
    <w:rsid w:val="00826AA7"/>
    <w:rsid w:val="00826F48"/>
    <w:rsid w:val="00831B13"/>
    <w:rsid w:val="0083261A"/>
    <w:rsid w:val="00832F00"/>
    <w:rsid w:val="008346AF"/>
    <w:rsid w:val="00834BCD"/>
    <w:rsid w:val="0083503F"/>
    <w:rsid w:val="0083559D"/>
    <w:rsid w:val="008409D3"/>
    <w:rsid w:val="00841539"/>
    <w:rsid w:val="0084176C"/>
    <w:rsid w:val="00841D38"/>
    <w:rsid w:val="0084211E"/>
    <w:rsid w:val="008430F0"/>
    <w:rsid w:val="0084447B"/>
    <w:rsid w:val="00846192"/>
    <w:rsid w:val="00846432"/>
    <w:rsid w:val="00846BC5"/>
    <w:rsid w:val="00846E0C"/>
    <w:rsid w:val="008471A4"/>
    <w:rsid w:val="0084728F"/>
    <w:rsid w:val="008479AA"/>
    <w:rsid w:val="008505A1"/>
    <w:rsid w:val="00850EC8"/>
    <w:rsid w:val="00851027"/>
    <w:rsid w:val="008510BF"/>
    <w:rsid w:val="008513BB"/>
    <w:rsid w:val="00852D87"/>
    <w:rsid w:val="0085327D"/>
    <w:rsid w:val="00853891"/>
    <w:rsid w:val="00853A93"/>
    <w:rsid w:val="00854AD7"/>
    <w:rsid w:val="00854CB9"/>
    <w:rsid w:val="008552D2"/>
    <w:rsid w:val="00856130"/>
    <w:rsid w:val="0085641D"/>
    <w:rsid w:val="0085652F"/>
    <w:rsid w:val="00860946"/>
    <w:rsid w:val="00861314"/>
    <w:rsid w:val="00861529"/>
    <w:rsid w:val="008615CA"/>
    <w:rsid w:val="00862879"/>
    <w:rsid w:val="00863432"/>
    <w:rsid w:val="008636FA"/>
    <w:rsid w:val="00864E42"/>
    <w:rsid w:val="00865A74"/>
    <w:rsid w:val="00866E99"/>
    <w:rsid w:val="00867410"/>
    <w:rsid w:val="00870648"/>
    <w:rsid w:val="0087083F"/>
    <w:rsid w:val="00871941"/>
    <w:rsid w:val="00872B8C"/>
    <w:rsid w:val="00872B9B"/>
    <w:rsid w:val="00873F43"/>
    <w:rsid w:val="008740D9"/>
    <w:rsid w:val="00874BF6"/>
    <w:rsid w:val="008758B9"/>
    <w:rsid w:val="00876342"/>
    <w:rsid w:val="0087737D"/>
    <w:rsid w:val="00877BE0"/>
    <w:rsid w:val="00880F6C"/>
    <w:rsid w:val="0088205B"/>
    <w:rsid w:val="00883302"/>
    <w:rsid w:val="00883468"/>
    <w:rsid w:val="00883F75"/>
    <w:rsid w:val="0088439B"/>
    <w:rsid w:val="008843AC"/>
    <w:rsid w:val="008845BE"/>
    <w:rsid w:val="00884F1A"/>
    <w:rsid w:val="008859AD"/>
    <w:rsid w:val="00885A32"/>
    <w:rsid w:val="008870DC"/>
    <w:rsid w:val="00887D1F"/>
    <w:rsid w:val="00890A4D"/>
    <w:rsid w:val="00890ECF"/>
    <w:rsid w:val="00891DF1"/>
    <w:rsid w:val="0089296F"/>
    <w:rsid w:val="00892E86"/>
    <w:rsid w:val="00893B76"/>
    <w:rsid w:val="0089416C"/>
    <w:rsid w:val="0089428F"/>
    <w:rsid w:val="00895177"/>
    <w:rsid w:val="00895211"/>
    <w:rsid w:val="00895912"/>
    <w:rsid w:val="00895DFF"/>
    <w:rsid w:val="00896DB9"/>
    <w:rsid w:val="0089700E"/>
    <w:rsid w:val="00897451"/>
    <w:rsid w:val="008974D9"/>
    <w:rsid w:val="008A0541"/>
    <w:rsid w:val="008A1C4D"/>
    <w:rsid w:val="008A262C"/>
    <w:rsid w:val="008A2BF7"/>
    <w:rsid w:val="008A3D75"/>
    <w:rsid w:val="008A4847"/>
    <w:rsid w:val="008A49A5"/>
    <w:rsid w:val="008A50F5"/>
    <w:rsid w:val="008A5835"/>
    <w:rsid w:val="008A62D9"/>
    <w:rsid w:val="008A6F03"/>
    <w:rsid w:val="008A6FC7"/>
    <w:rsid w:val="008A71D6"/>
    <w:rsid w:val="008A746D"/>
    <w:rsid w:val="008A7954"/>
    <w:rsid w:val="008B0147"/>
    <w:rsid w:val="008B0234"/>
    <w:rsid w:val="008B0D7A"/>
    <w:rsid w:val="008B19D8"/>
    <w:rsid w:val="008B22FE"/>
    <w:rsid w:val="008B2D1A"/>
    <w:rsid w:val="008B32FA"/>
    <w:rsid w:val="008B36BF"/>
    <w:rsid w:val="008B3BBD"/>
    <w:rsid w:val="008B5746"/>
    <w:rsid w:val="008B5A8D"/>
    <w:rsid w:val="008B6F44"/>
    <w:rsid w:val="008B716A"/>
    <w:rsid w:val="008B73A7"/>
    <w:rsid w:val="008B7885"/>
    <w:rsid w:val="008C0748"/>
    <w:rsid w:val="008C0EB8"/>
    <w:rsid w:val="008C1604"/>
    <w:rsid w:val="008C2983"/>
    <w:rsid w:val="008C2CC5"/>
    <w:rsid w:val="008C2E52"/>
    <w:rsid w:val="008C331B"/>
    <w:rsid w:val="008C3C0B"/>
    <w:rsid w:val="008C43E8"/>
    <w:rsid w:val="008C4A35"/>
    <w:rsid w:val="008C5D53"/>
    <w:rsid w:val="008C661A"/>
    <w:rsid w:val="008C70D1"/>
    <w:rsid w:val="008C7B51"/>
    <w:rsid w:val="008D008C"/>
    <w:rsid w:val="008D0508"/>
    <w:rsid w:val="008D0584"/>
    <w:rsid w:val="008D1578"/>
    <w:rsid w:val="008D1FB0"/>
    <w:rsid w:val="008D2986"/>
    <w:rsid w:val="008D4867"/>
    <w:rsid w:val="008D49EC"/>
    <w:rsid w:val="008D4F32"/>
    <w:rsid w:val="008D4F6F"/>
    <w:rsid w:val="008D544A"/>
    <w:rsid w:val="008D5A17"/>
    <w:rsid w:val="008D5C3A"/>
    <w:rsid w:val="008D5D67"/>
    <w:rsid w:val="008E08B3"/>
    <w:rsid w:val="008E0CC1"/>
    <w:rsid w:val="008E1DE2"/>
    <w:rsid w:val="008E262E"/>
    <w:rsid w:val="008E2B6C"/>
    <w:rsid w:val="008E390B"/>
    <w:rsid w:val="008E46EC"/>
    <w:rsid w:val="008E4A5D"/>
    <w:rsid w:val="008E5569"/>
    <w:rsid w:val="008F04AE"/>
    <w:rsid w:val="008F1FC4"/>
    <w:rsid w:val="008F2657"/>
    <w:rsid w:val="008F4A4B"/>
    <w:rsid w:val="008F567B"/>
    <w:rsid w:val="008F57A1"/>
    <w:rsid w:val="008F57D0"/>
    <w:rsid w:val="008F590D"/>
    <w:rsid w:val="008F5AC6"/>
    <w:rsid w:val="008F5B8C"/>
    <w:rsid w:val="008F6C01"/>
    <w:rsid w:val="008F7555"/>
    <w:rsid w:val="008F7C9A"/>
    <w:rsid w:val="008F7EBF"/>
    <w:rsid w:val="008F7F4E"/>
    <w:rsid w:val="00900E35"/>
    <w:rsid w:val="00902B1E"/>
    <w:rsid w:val="00902CC8"/>
    <w:rsid w:val="00903A22"/>
    <w:rsid w:val="00904262"/>
    <w:rsid w:val="009045D5"/>
    <w:rsid w:val="00904688"/>
    <w:rsid w:val="009062BB"/>
    <w:rsid w:val="00907014"/>
    <w:rsid w:val="00907603"/>
    <w:rsid w:val="0091087A"/>
    <w:rsid w:val="00910C7E"/>
    <w:rsid w:val="00910E8B"/>
    <w:rsid w:val="00911B0C"/>
    <w:rsid w:val="00911C97"/>
    <w:rsid w:val="00911DB3"/>
    <w:rsid w:val="00912202"/>
    <w:rsid w:val="00912B22"/>
    <w:rsid w:val="00912CB7"/>
    <w:rsid w:val="00912D58"/>
    <w:rsid w:val="00913448"/>
    <w:rsid w:val="009146A3"/>
    <w:rsid w:val="00914ADD"/>
    <w:rsid w:val="00915479"/>
    <w:rsid w:val="00915F4D"/>
    <w:rsid w:val="009162D0"/>
    <w:rsid w:val="009169D5"/>
    <w:rsid w:val="00920777"/>
    <w:rsid w:val="00920797"/>
    <w:rsid w:val="00920B3D"/>
    <w:rsid w:val="00921008"/>
    <w:rsid w:val="00921D7E"/>
    <w:rsid w:val="00921DB3"/>
    <w:rsid w:val="009221F9"/>
    <w:rsid w:val="0092263A"/>
    <w:rsid w:val="0092271B"/>
    <w:rsid w:val="00923356"/>
    <w:rsid w:val="0092443D"/>
    <w:rsid w:val="009245C8"/>
    <w:rsid w:val="0092472E"/>
    <w:rsid w:val="00924ED5"/>
    <w:rsid w:val="009254A4"/>
    <w:rsid w:val="00925959"/>
    <w:rsid w:val="00925C4D"/>
    <w:rsid w:val="00926F98"/>
    <w:rsid w:val="0092782C"/>
    <w:rsid w:val="00927DCB"/>
    <w:rsid w:val="0093097E"/>
    <w:rsid w:val="0093111E"/>
    <w:rsid w:val="009311B9"/>
    <w:rsid w:val="00931783"/>
    <w:rsid w:val="00932B5E"/>
    <w:rsid w:val="00932BA8"/>
    <w:rsid w:val="00932FE8"/>
    <w:rsid w:val="00933277"/>
    <w:rsid w:val="00933396"/>
    <w:rsid w:val="0093358F"/>
    <w:rsid w:val="00933971"/>
    <w:rsid w:val="00933BB9"/>
    <w:rsid w:val="00935AF4"/>
    <w:rsid w:val="00935DF3"/>
    <w:rsid w:val="00935F0B"/>
    <w:rsid w:val="00936E30"/>
    <w:rsid w:val="00940E0D"/>
    <w:rsid w:val="00941577"/>
    <w:rsid w:val="00942486"/>
    <w:rsid w:val="009427AE"/>
    <w:rsid w:val="009427DB"/>
    <w:rsid w:val="00942BE0"/>
    <w:rsid w:val="009435A4"/>
    <w:rsid w:val="0094370C"/>
    <w:rsid w:val="00943FD0"/>
    <w:rsid w:val="00944CC5"/>
    <w:rsid w:val="00944DC5"/>
    <w:rsid w:val="0094657F"/>
    <w:rsid w:val="009471F5"/>
    <w:rsid w:val="0094733F"/>
    <w:rsid w:val="00950CFD"/>
    <w:rsid w:val="0095187A"/>
    <w:rsid w:val="00951EB5"/>
    <w:rsid w:val="0095268A"/>
    <w:rsid w:val="00953EA5"/>
    <w:rsid w:val="00954C71"/>
    <w:rsid w:val="00955411"/>
    <w:rsid w:val="00956A27"/>
    <w:rsid w:val="00957065"/>
    <w:rsid w:val="00957A1D"/>
    <w:rsid w:val="00960F47"/>
    <w:rsid w:val="00962114"/>
    <w:rsid w:val="0096213D"/>
    <w:rsid w:val="00962B51"/>
    <w:rsid w:val="009637BD"/>
    <w:rsid w:val="00963875"/>
    <w:rsid w:val="009649AD"/>
    <w:rsid w:val="00964A91"/>
    <w:rsid w:val="0096521D"/>
    <w:rsid w:val="00965B6A"/>
    <w:rsid w:val="009673B4"/>
    <w:rsid w:val="009673CF"/>
    <w:rsid w:val="009676B4"/>
    <w:rsid w:val="009677E5"/>
    <w:rsid w:val="0097232A"/>
    <w:rsid w:val="00972C7E"/>
    <w:rsid w:val="00972F3C"/>
    <w:rsid w:val="0097391C"/>
    <w:rsid w:val="009739D5"/>
    <w:rsid w:val="00974231"/>
    <w:rsid w:val="00974C09"/>
    <w:rsid w:val="00974E29"/>
    <w:rsid w:val="0097526B"/>
    <w:rsid w:val="00975821"/>
    <w:rsid w:val="00975F1E"/>
    <w:rsid w:val="00976E1B"/>
    <w:rsid w:val="0097781C"/>
    <w:rsid w:val="00977933"/>
    <w:rsid w:val="00980B1D"/>
    <w:rsid w:val="00980B6A"/>
    <w:rsid w:val="00980F62"/>
    <w:rsid w:val="009816A7"/>
    <w:rsid w:val="00981BFF"/>
    <w:rsid w:val="00981C55"/>
    <w:rsid w:val="0098234F"/>
    <w:rsid w:val="0098245D"/>
    <w:rsid w:val="00984830"/>
    <w:rsid w:val="00984BAF"/>
    <w:rsid w:val="00984BBC"/>
    <w:rsid w:val="00985E30"/>
    <w:rsid w:val="00986055"/>
    <w:rsid w:val="00987135"/>
    <w:rsid w:val="009905EC"/>
    <w:rsid w:val="00990734"/>
    <w:rsid w:val="00991237"/>
    <w:rsid w:val="00991D06"/>
    <w:rsid w:val="009923FC"/>
    <w:rsid w:val="00992750"/>
    <w:rsid w:val="0099288F"/>
    <w:rsid w:val="00992D95"/>
    <w:rsid w:val="00993363"/>
    <w:rsid w:val="00993870"/>
    <w:rsid w:val="009941F3"/>
    <w:rsid w:val="00995EF1"/>
    <w:rsid w:val="00996915"/>
    <w:rsid w:val="00997376"/>
    <w:rsid w:val="00997996"/>
    <w:rsid w:val="00997B5E"/>
    <w:rsid w:val="009A03CE"/>
    <w:rsid w:val="009A0A82"/>
    <w:rsid w:val="009A10C8"/>
    <w:rsid w:val="009A1440"/>
    <w:rsid w:val="009A4F4A"/>
    <w:rsid w:val="009A58CF"/>
    <w:rsid w:val="009A6614"/>
    <w:rsid w:val="009A6BFA"/>
    <w:rsid w:val="009A708E"/>
    <w:rsid w:val="009A7434"/>
    <w:rsid w:val="009A796E"/>
    <w:rsid w:val="009B05FC"/>
    <w:rsid w:val="009B08B7"/>
    <w:rsid w:val="009B129A"/>
    <w:rsid w:val="009B1438"/>
    <w:rsid w:val="009B36EE"/>
    <w:rsid w:val="009B408F"/>
    <w:rsid w:val="009B43F2"/>
    <w:rsid w:val="009B4D92"/>
    <w:rsid w:val="009B5B78"/>
    <w:rsid w:val="009B746E"/>
    <w:rsid w:val="009B7E78"/>
    <w:rsid w:val="009C05D0"/>
    <w:rsid w:val="009C0D12"/>
    <w:rsid w:val="009C18A7"/>
    <w:rsid w:val="009C1938"/>
    <w:rsid w:val="009C1981"/>
    <w:rsid w:val="009C21B0"/>
    <w:rsid w:val="009C2434"/>
    <w:rsid w:val="009C24EB"/>
    <w:rsid w:val="009C2C32"/>
    <w:rsid w:val="009C39F7"/>
    <w:rsid w:val="009C4208"/>
    <w:rsid w:val="009C4AB2"/>
    <w:rsid w:val="009C6232"/>
    <w:rsid w:val="009C62B9"/>
    <w:rsid w:val="009C65C8"/>
    <w:rsid w:val="009D1159"/>
    <w:rsid w:val="009D1681"/>
    <w:rsid w:val="009D207C"/>
    <w:rsid w:val="009D23CA"/>
    <w:rsid w:val="009D3028"/>
    <w:rsid w:val="009D3322"/>
    <w:rsid w:val="009D37EA"/>
    <w:rsid w:val="009D3B2C"/>
    <w:rsid w:val="009D4970"/>
    <w:rsid w:val="009D4B21"/>
    <w:rsid w:val="009D4D41"/>
    <w:rsid w:val="009D5B1D"/>
    <w:rsid w:val="009D5CDD"/>
    <w:rsid w:val="009D6293"/>
    <w:rsid w:val="009D6929"/>
    <w:rsid w:val="009D73CD"/>
    <w:rsid w:val="009E086D"/>
    <w:rsid w:val="009E0B4E"/>
    <w:rsid w:val="009E12E9"/>
    <w:rsid w:val="009E151D"/>
    <w:rsid w:val="009E1CDC"/>
    <w:rsid w:val="009E236E"/>
    <w:rsid w:val="009E24E5"/>
    <w:rsid w:val="009E49CF"/>
    <w:rsid w:val="009E4B13"/>
    <w:rsid w:val="009E51FA"/>
    <w:rsid w:val="009E5B64"/>
    <w:rsid w:val="009E6A36"/>
    <w:rsid w:val="009E6E71"/>
    <w:rsid w:val="009E711D"/>
    <w:rsid w:val="009F00A9"/>
    <w:rsid w:val="009F0730"/>
    <w:rsid w:val="009F0B59"/>
    <w:rsid w:val="009F0C78"/>
    <w:rsid w:val="009F2B15"/>
    <w:rsid w:val="009F2C96"/>
    <w:rsid w:val="009F30D3"/>
    <w:rsid w:val="009F32C8"/>
    <w:rsid w:val="009F381A"/>
    <w:rsid w:val="009F4970"/>
    <w:rsid w:val="009F5708"/>
    <w:rsid w:val="009F5DEA"/>
    <w:rsid w:val="009F6BCF"/>
    <w:rsid w:val="009F6D5F"/>
    <w:rsid w:val="009F6F31"/>
    <w:rsid w:val="009F7CDA"/>
    <w:rsid w:val="00A00152"/>
    <w:rsid w:val="00A0150F"/>
    <w:rsid w:val="00A01A1E"/>
    <w:rsid w:val="00A02228"/>
    <w:rsid w:val="00A0498E"/>
    <w:rsid w:val="00A05801"/>
    <w:rsid w:val="00A059D7"/>
    <w:rsid w:val="00A060B8"/>
    <w:rsid w:val="00A07A50"/>
    <w:rsid w:val="00A10A49"/>
    <w:rsid w:val="00A11A32"/>
    <w:rsid w:val="00A1308B"/>
    <w:rsid w:val="00A1559F"/>
    <w:rsid w:val="00A15BF0"/>
    <w:rsid w:val="00A168DF"/>
    <w:rsid w:val="00A20F58"/>
    <w:rsid w:val="00A22637"/>
    <w:rsid w:val="00A22ED9"/>
    <w:rsid w:val="00A24363"/>
    <w:rsid w:val="00A24D9C"/>
    <w:rsid w:val="00A26850"/>
    <w:rsid w:val="00A26E76"/>
    <w:rsid w:val="00A27471"/>
    <w:rsid w:val="00A306C1"/>
    <w:rsid w:val="00A3163F"/>
    <w:rsid w:val="00A31ACD"/>
    <w:rsid w:val="00A31F12"/>
    <w:rsid w:val="00A31F28"/>
    <w:rsid w:val="00A323A0"/>
    <w:rsid w:val="00A3255A"/>
    <w:rsid w:val="00A32BCA"/>
    <w:rsid w:val="00A33200"/>
    <w:rsid w:val="00A34067"/>
    <w:rsid w:val="00A34606"/>
    <w:rsid w:val="00A35036"/>
    <w:rsid w:val="00A36524"/>
    <w:rsid w:val="00A37005"/>
    <w:rsid w:val="00A3709A"/>
    <w:rsid w:val="00A37149"/>
    <w:rsid w:val="00A37154"/>
    <w:rsid w:val="00A37AA5"/>
    <w:rsid w:val="00A4080F"/>
    <w:rsid w:val="00A411F8"/>
    <w:rsid w:val="00A4129B"/>
    <w:rsid w:val="00A41577"/>
    <w:rsid w:val="00A42022"/>
    <w:rsid w:val="00A446E3"/>
    <w:rsid w:val="00A4499B"/>
    <w:rsid w:val="00A44AA6"/>
    <w:rsid w:val="00A44C33"/>
    <w:rsid w:val="00A44F25"/>
    <w:rsid w:val="00A45376"/>
    <w:rsid w:val="00A45E16"/>
    <w:rsid w:val="00A45F7F"/>
    <w:rsid w:val="00A4650A"/>
    <w:rsid w:val="00A47B36"/>
    <w:rsid w:val="00A47BCC"/>
    <w:rsid w:val="00A47C3D"/>
    <w:rsid w:val="00A51585"/>
    <w:rsid w:val="00A522AE"/>
    <w:rsid w:val="00A52EF5"/>
    <w:rsid w:val="00A54C27"/>
    <w:rsid w:val="00A56362"/>
    <w:rsid w:val="00A56F44"/>
    <w:rsid w:val="00A57FB7"/>
    <w:rsid w:val="00A60571"/>
    <w:rsid w:val="00A60DC3"/>
    <w:rsid w:val="00A613A4"/>
    <w:rsid w:val="00A61462"/>
    <w:rsid w:val="00A61EE3"/>
    <w:rsid w:val="00A63191"/>
    <w:rsid w:val="00A6330E"/>
    <w:rsid w:val="00A63D7A"/>
    <w:rsid w:val="00A63E0B"/>
    <w:rsid w:val="00A64458"/>
    <w:rsid w:val="00A648CF"/>
    <w:rsid w:val="00A64D59"/>
    <w:rsid w:val="00A64DA0"/>
    <w:rsid w:val="00A66994"/>
    <w:rsid w:val="00A67652"/>
    <w:rsid w:val="00A678C3"/>
    <w:rsid w:val="00A7039A"/>
    <w:rsid w:val="00A70486"/>
    <w:rsid w:val="00A70893"/>
    <w:rsid w:val="00A7256B"/>
    <w:rsid w:val="00A73CE0"/>
    <w:rsid w:val="00A74A7B"/>
    <w:rsid w:val="00A76D3F"/>
    <w:rsid w:val="00A80335"/>
    <w:rsid w:val="00A81AD0"/>
    <w:rsid w:val="00A82BEE"/>
    <w:rsid w:val="00A83043"/>
    <w:rsid w:val="00A84428"/>
    <w:rsid w:val="00A87895"/>
    <w:rsid w:val="00A87911"/>
    <w:rsid w:val="00A9278F"/>
    <w:rsid w:val="00A9346B"/>
    <w:rsid w:val="00A9415E"/>
    <w:rsid w:val="00A95B2A"/>
    <w:rsid w:val="00A9706B"/>
    <w:rsid w:val="00AA0787"/>
    <w:rsid w:val="00AA09D9"/>
    <w:rsid w:val="00AA2707"/>
    <w:rsid w:val="00AA3538"/>
    <w:rsid w:val="00AA37DF"/>
    <w:rsid w:val="00AA3A51"/>
    <w:rsid w:val="00AA4BFD"/>
    <w:rsid w:val="00AA5385"/>
    <w:rsid w:val="00AA5546"/>
    <w:rsid w:val="00AA5E7A"/>
    <w:rsid w:val="00AA5FDA"/>
    <w:rsid w:val="00AA6790"/>
    <w:rsid w:val="00AA736F"/>
    <w:rsid w:val="00AA7C6A"/>
    <w:rsid w:val="00AB00A8"/>
    <w:rsid w:val="00AB1269"/>
    <w:rsid w:val="00AB1704"/>
    <w:rsid w:val="00AB17D1"/>
    <w:rsid w:val="00AB1B97"/>
    <w:rsid w:val="00AB1BD1"/>
    <w:rsid w:val="00AB1CF2"/>
    <w:rsid w:val="00AB1E0A"/>
    <w:rsid w:val="00AB2001"/>
    <w:rsid w:val="00AB212C"/>
    <w:rsid w:val="00AB22AD"/>
    <w:rsid w:val="00AB2A0A"/>
    <w:rsid w:val="00AB2F7A"/>
    <w:rsid w:val="00AB321C"/>
    <w:rsid w:val="00AB3638"/>
    <w:rsid w:val="00AB5455"/>
    <w:rsid w:val="00AB5D21"/>
    <w:rsid w:val="00AB635A"/>
    <w:rsid w:val="00AB64F0"/>
    <w:rsid w:val="00AB66B5"/>
    <w:rsid w:val="00AB6AB4"/>
    <w:rsid w:val="00AB6B5D"/>
    <w:rsid w:val="00AB721C"/>
    <w:rsid w:val="00AB77E9"/>
    <w:rsid w:val="00AC1548"/>
    <w:rsid w:val="00AC159E"/>
    <w:rsid w:val="00AC1A0F"/>
    <w:rsid w:val="00AC1D9C"/>
    <w:rsid w:val="00AC2732"/>
    <w:rsid w:val="00AC35E1"/>
    <w:rsid w:val="00AC3ACF"/>
    <w:rsid w:val="00AC43EE"/>
    <w:rsid w:val="00AC51A9"/>
    <w:rsid w:val="00AC5F8A"/>
    <w:rsid w:val="00AC60AB"/>
    <w:rsid w:val="00AC6160"/>
    <w:rsid w:val="00AC7B97"/>
    <w:rsid w:val="00AD010E"/>
    <w:rsid w:val="00AD0D72"/>
    <w:rsid w:val="00AD2DBE"/>
    <w:rsid w:val="00AD35F6"/>
    <w:rsid w:val="00AD470E"/>
    <w:rsid w:val="00AD4A07"/>
    <w:rsid w:val="00AD4B6E"/>
    <w:rsid w:val="00AD4BFB"/>
    <w:rsid w:val="00AD4CEB"/>
    <w:rsid w:val="00AD59B4"/>
    <w:rsid w:val="00AD5BFB"/>
    <w:rsid w:val="00AD6346"/>
    <w:rsid w:val="00AD6BFA"/>
    <w:rsid w:val="00AD6E48"/>
    <w:rsid w:val="00AD737D"/>
    <w:rsid w:val="00AE0741"/>
    <w:rsid w:val="00AE07A0"/>
    <w:rsid w:val="00AE09DA"/>
    <w:rsid w:val="00AE2F44"/>
    <w:rsid w:val="00AE337A"/>
    <w:rsid w:val="00AE3929"/>
    <w:rsid w:val="00AE412D"/>
    <w:rsid w:val="00AE423A"/>
    <w:rsid w:val="00AE5435"/>
    <w:rsid w:val="00AE5A73"/>
    <w:rsid w:val="00AE5F8D"/>
    <w:rsid w:val="00AE6F7F"/>
    <w:rsid w:val="00AE7AE3"/>
    <w:rsid w:val="00AE7C04"/>
    <w:rsid w:val="00AE7D53"/>
    <w:rsid w:val="00AF0474"/>
    <w:rsid w:val="00AF0611"/>
    <w:rsid w:val="00AF066D"/>
    <w:rsid w:val="00AF1947"/>
    <w:rsid w:val="00AF2557"/>
    <w:rsid w:val="00AF2C93"/>
    <w:rsid w:val="00AF2EC9"/>
    <w:rsid w:val="00AF5A42"/>
    <w:rsid w:val="00AF5FB0"/>
    <w:rsid w:val="00AF6196"/>
    <w:rsid w:val="00AF629C"/>
    <w:rsid w:val="00AF7A43"/>
    <w:rsid w:val="00B019BE"/>
    <w:rsid w:val="00B02005"/>
    <w:rsid w:val="00B029EE"/>
    <w:rsid w:val="00B03A40"/>
    <w:rsid w:val="00B03BA5"/>
    <w:rsid w:val="00B050BB"/>
    <w:rsid w:val="00B051BC"/>
    <w:rsid w:val="00B060CF"/>
    <w:rsid w:val="00B12453"/>
    <w:rsid w:val="00B13307"/>
    <w:rsid w:val="00B1335F"/>
    <w:rsid w:val="00B1474D"/>
    <w:rsid w:val="00B14D5B"/>
    <w:rsid w:val="00B154AF"/>
    <w:rsid w:val="00B15A06"/>
    <w:rsid w:val="00B15B1C"/>
    <w:rsid w:val="00B1607C"/>
    <w:rsid w:val="00B165CA"/>
    <w:rsid w:val="00B16677"/>
    <w:rsid w:val="00B1681A"/>
    <w:rsid w:val="00B16942"/>
    <w:rsid w:val="00B16F8A"/>
    <w:rsid w:val="00B170C7"/>
    <w:rsid w:val="00B1793E"/>
    <w:rsid w:val="00B21F65"/>
    <w:rsid w:val="00B22A50"/>
    <w:rsid w:val="00B24621"/>
    <w:rsid w:val="00B2472D"/>
    <w:rsid w:val="00B24943"/>
    <w:rsid w:val="00B24C85"/>
    <w:rsid w:val="00B27363"/>
    <w:rsid w:val="00B30BA6"/>
    <w:rsid w:val="00B310DC"/>
    <w:rsid w:val="00B31AF7"/>
    <w:rsid w:val="00B3249F"/>
    <w:rsid w:val="00B32857"/>
    <w:rsid w:val="00B33C23"/>
    <w:rsid w:val="00B348B5"/>
    <w:rsid w:val="00B3496B"/>
    <w:rsid w:val="00B35F08"/>
    <w:rsid w:val="00B36B7D"/>
    <w:rsid w:val="00B37B22"/>
    <w:rsid w:val="00B40375"/>
    <w:rsid w:val="00B4038A"/>
    <w:rsid w:val="00B4069A"/>
    <w:rsid w:val="00B40C06"/>
    <w:rsid w:val="00B420FD"/>
    <w:rsid w:val="00B428EF"/>
    <w:rsid w:val="00B42AE5"/>
    <w:rsid w:val="00B436B1"/>
    <w:rsid w:val="00B436DD"/>
    <w:rsid w:val="00B4384A"/>
    <w:rsid w:val="00B43B68"/>
    <w:rsid w:val="00B45503"/>
    <w:rsid w:val="00B50874"/>
    <w:rsid w:val="00B50B7B"/>
    <w:rsid w:val="00B50BC4"/>
    <w:rsid w:val="00B50D25"/>
    <w:rsid w:val="00B50DAC"/>
    <w:rsid w:val="00B51196"/>
    <w:rsid w:val="00B523AA"/>
    <w:rsid w:val="00B52A2A"/>
    <w:rsid w:val="00B52DA4"/>
    <w:rsid w:val="00B5303D"/>
    <w:rsid w:val="00B53446"/>
    <w:rsid w:val="00B53723"/>
    <w:rsid w:val="00B53F73"/>
    <w:rsid w:val="00B54266"/>
    <w:rsid w:val="00B545AB"/>
    <w:rsid w:val="00B5486C"/>
    <w:rsid w:val="00B5537C"/>
    <w:rsid w:val="00B557E0"/>
    <w:rsid w:val="00B55B01"/>
    <w:rsid w:val="00B56A0A"/>
    <w:rsid w:val="00B56C2B"/>
    <w:rsid w:val="00B56C7D"/>
    <w:rsid w:val="00B577C7"/>
    <w:rsid w:val="00B57B98"/>
    <w:rsid w:val="00B601A5"/>
    <w:rsid w:val="00B608BA"/>
    <w:rsid w:val="00B60DF4"/>
    <w:rsid w:val="00B60EC2"/>
    <w:rsid w:val="00B615AA"/>
    <w:rsid w:val="00B623B1"/>
    <w:rsid w:val="00B64145"/>
    <w:rsid w:val="00B64425"/>
    <w:rsid w:val="00B65539"/>
    <w:rsid w:val="00B6559E"/>
    <w:rsid w:val="00B65B8D"/>
    <w:rsid w:val="00B662D5"/>
    <w:rsid w:val="00B66D3E"/>
    <w:rsid w:val="00B6712B"/>
    <w:rsid w:val="00B6717C"/>
    <w:rsid w:val="00B674FB"/>
    <w:rsid w:val="00B67681"/>
    <w:rsid w:val="00B6785A"/>
    <w:rsid w:val="00B67B10"/>
    <w:rsid w:val="00B7057C"/>
    <w:rsid w:val="00B70719"/>
    <w:rsid w:val="00B70971"/>
    <w:rsid w:val="00B71AB5"/>
    <w:rsid w:val="00B72808"/>
    <w:rsid w:val="00B73EC3"/>
    <w:rsid w:val="00B73F94"/>
    <w:rsid w:val="00B74373"/>
    <w:rsid w:val="00B745C1"/>
    <w:rsid w:val="00B7475C"/>
    <w:rsid w:val="00B75109"/>
    <w:rsid w:val="00B75434"/>
    <w:rsid w:val="00B75835"/>
    <w:rsid w:val="00B75D92"/>
    <w:rsid w:val="00B75F33"/>
    <w:rsid w:val="00B767AE"/>
    <w:rsid w:val="00B76C18"/>
    <w:rsid w:val="00B779AA"/>
    <w:rsid w:val="00B801C2"/>
    <w:rsid w:val="00B802BB"/>
    <w:rsid w:val="00B80C63"/>
    <w:rsid w:val="00B80E71"/>
    <w:rsid w:val="00B80FA9"/>
    <w:rsid w:val="00B8200F"/>
    <w:rsid w:val="00B82023"/>
    <w:rsid w:val="00B831BE"/>
    <w:rsid w:val="00B83FF6"/>
    <w:rsid w:val="00B859FA"/>
    <w:rsid w:val="00B87415"/>
    <w:rsid w:val="00B903E2"/>
    <w:rsid w:val="00B904BC"/>
    <w:rsid w:val="00B90771"/>
    <w:rsid w:val="00B91564"/>
    <w:rsid w:val="00B915DD"/>
    <w:rsid w:val="00B916D5"/>
    <w:rsid w:val="00B91989"/>
    <w:rsid w:val="00B92347"/>
    <w:rsid w:val="00B92601"/>
    <w:rsid w:val="00B927B2"/>
    <w:rsid w:val="00B93E59"/>
    <w:rsid w:val="00B944C4"/>
    <w:rsid w:val="00B94C45"/>
    <w:rsid w:val="00B9579E"/>
    <w:rsid w:val="00B95CA0"/>
    <w:rsid w:val="00B95E7B"/>
    <w:rsid w:val="00B96FFA"/>
    <w:rsid w:val="00B9773E"/>
    <w:rsid w:val="00B97984"/>
    <w:rsid w:val="00BA0044"/>
    <w:rsid w:val="00BA211E"/>
    <w:rsid w:val="00BA259C"/>
    <w:rsid w:val="00BA3070"/>
    <w:rsid w:val="00BA36FF"/>
    <w:rsid w:val="00BA40D2"/>
    <w:rsid w:val="00BA64DA"/>
    <w:rsid w:val="00BA6502"/>
    <w:rsid w:val="00BA6E89"/>
    <w:rsid w:val="00BA7357"/>
    <w:rsid w:val="00BA747A"/>
    <w:rsid w:val="00BA7DE8"/>
    <w:rsid w:val="00BB0481"/>
    <w:rsid w:val="00BB0A6E"/>
    <w:rsid w:val="00BB1773"/>
    <w:rsid w:val="00BB1AFF"/>
    <w:rsid w:val="00BB1C34"/>
    <w:rsid w:val="00BB1DFA"/>
    <w:rsid w:val="00BB2923"/>
    <w:rsid w:val="00BB2F54"/>
    <w:rsid w:val="00BB2F61"/>
    <w:rsid w:val="00BB4664"/>
    <w:rsid w:val="00BB50D3"/>
    <w:rsid w:val="00BB5A60"/>
    <w:rsid w:val="00BB73CB"/>
    <w:rsid w:val="00BB74CD"/>
    <w:rsid w:val="00BB76D3"/>
    <w:rsid w:val="00BB7B76"/>
    <w:rsid w:val="00BC02A0"/>
    <w:rsid w:val="00BC06E1"/>
    <w:rsid w:val="00BC092E"/>
    <w:rsid w:val="00BC0D69"/>
    <w:rsid w:val="00BC0E3B"/>
    <w:rsid w:val="00BC109F"/>
    <w:rsid w:val="00BC125A"/>
    <w:rsid w:val="00BC1272"/>
    <w:rsid w:val="00BC1581"/>
    <w:rsid w:val="00BC1704"/>
    <w:rsid w:val="00BC200F"/>
    <w:rsid w:val="00BC2D5E"/>
    <w:rsid w:val="00BC3E2A"/>
    <w:rsid w:val="00BC5C01"/>
    <w:rsid w:val="00BC6249"/>
    <w:rsid w:val="00BC6971"/>
    <w:rsid w:val="00BC6F5C"/>
    <w:rsid w:val="00BD0532"/>
    <w:rsid w:val="00BD0DB2"/>
    <w:rsid w:val="00BD1AD6"/>
    <w:rsid w:val="00BD1BB5"/>
    <w:rsid w:val="00BD2620"/>
    <w:rsid w:val="00BD26F5"/>
    <w:rsid w:val="00BD3D6A"/>
    <w:rsid w:val="00BD4288"/>
    <w:rsid w:val="00BD51D7"/>
    <w:rsid w:val="00BD680A"/>
    <w:rsid w:val="00BD7B5A"/>
    <w:rsid w:val="00BE0FFE"/>
    <w:rsid w:val="00BE170B"/>
    <w:rsid w:val="00BE203D"/>
    <w:rsid w:val="00BE2341"/>
    <w:rsid w:val="00BE2472"/>
    <w:rsid w:val="00BE2CB8"/>
    <w:rsid w:val="00BE3F7E"/>
    <w:rsid w:val="00BE4892"/>
    <w:rsid w:val="00BE4A93"/>
    <w:rsid w:val="00BE52A8"/>
    <w:rsid w:val="00BE6A63"/>
    <w:rsid w:val="00BE6C72"/>
    <w:rsid w:val="00BE7AD0"/>
    <w:rsid w:val="00BE7E2C"/>
    <w:rsid w:val="00BF0758"/>
    <w:rsid w:val="00BF1612"/>
    <w:rsid w:val="00BF1FCD"/>
    <w:rsid w:val="00BF20A2"/>
    <w:rsid w:val="00BF244B"/>
    <w:rsid w:val="00BF263E"/>
    <w:rsid w:val="00BF31A7"/>
    <w:rsid w:val="00BF373F"/>
    <w:rsid w:val="00BF3877"/>
    <w:rsid w:val="00BF3971"/>
    <w:rsid w:val="00BF4048"/>
    <w:rsid w:val="00BF412C"/>
    <w:rsid w:val="00BF533E"/>
    <w:rsid w:val="00BF5A9E"/>
    <w:rsid w:val="00BF656B"/>
    <w:rsid w:val="00C00E0B"/>
    <w:rsid w:val="00C01498"/>
    <w:rsid w:val="00C0257A"/>
    <w:rsid w:val="00C02696"/>
    <w:rsid w:val="00C028B5"/>
    <w:rsid w:val="00C038BD"/>
    <w:rsid w:val="00C039A4"/>
    <w:rsid w:val="00C03E4E"/>
    <w:rsid w:val="00C0484F"/>
    <w:rsid w:val="00C04DBA"/>
    <w:rsid w:val="00C0534B"/>
    <w:rsid w:val="00C05452"/>
    <w:rsid w:val="00C059A1"/>
    <w:rsid w:val="00C07247"/>
    <w:rsid w:val="00C101DC"/>
    <w:rsid w:val="00C101F1"/>
    <w:rsid w:val="00C10720"/>
    <w:rsid w:val="00C10995"/>
    <w:rsid w:val="00C11129"/>
    <w:rsid w:val="00C11BD2"/>
    <w:rsid w:val="00C11E5C"/>
    <w:rsid w:val="00C11ED5"/>
    <w:rsid w:val="00C125E3"/>
    <w:rsid w:val="00C13179"/>
    <w:rsid w:val="00C13929"/>
    <w:rsid w:val="00C139ED"/>
    <w:rsid w:val="00C146B8"/>
    <w:rsid w:val="00C15DD8"/>
    <w:rsid w:val="00C16550"/>
    <w:rsid w:val="00C170FB"/>
    <w:rsid w:val="00C17407"/>
    <w:rsid w:val="00C17F61"/>
    <w:rsid w:val="00C20447"/>
    <w:rsid w:val="00C20698"/>
    <w:rsid w:val="00C2206F"/>
    <w:rsid w:val="00C229B1"/>
    <w:rsid w:val="00C23147"/>
    <w:rsid w:val="00C231A9"/>
    <w:rsid w:val="00C23D3E"/>
    <w:rsid w:val="00C24399"/>
    <w:rsid w:val="00C2533B"/>
    <w:rsid w:val="00C25B4B"/>
    <w:rsid w:val="00C278A8"/>
    <w:rsid w:val="00C279E6"/>
    <w:rsid w:val="00C27E6F"/>
    <w:rsid w:val="00C311C0"/>
    <w:rsid w:val="00C3145C"/>
    <w:rsid w:val="00C325BB"/>
    <w:rsid w:val="00C326BE"/>
    <w:rsid w:val="00C32C56"/>
    <w:rsid w:val="00C333DD"/>
    <w:rsid w:val="00C33AA3"/>
    <w:rsid w:val="00C3423E"/>
    <w:rsid w:val="00C34B0B"/>
    <w:rsid w:val="00C35A9E"/>
    <w:rsid w:val="00C36836"/>
    <w:rsid w:val="00C379E7"/>
    <w:rsid w:val="00C37B9A"/>
    <w:rsid w:val="00C37EFC"/>
    <w:rsid w:val="00C40386"/>
    <w:rsid w:val="00C41248"/>
    <w:rsid w:val="00C413BC"/>
    <w:rsid w:val="00C42AE0"/>
    <w:rsid w:val="00C42D12"/>
    <w:rsid w:val="00C439F6"/>
    <w:rsid w:val="00C43F91"/>
    <w:rsid w:val="00C441D2"/>
    <w:rsid w:val="00C44C33"/>
    <w:rsid w:val="00C4573B"/>
    <w:rsid w:val="00C45976"/>
    <w:rsid w:val="00C46582"/>
    <w:rsid w:val="00C46ACF"/>
    <w:rsid w:val="00C46EBB"/>
    <w:rsid w:val="00C4725B"/>
    <w:rsid w:val="00C47C53"/>
    <w:rsid w:val="00C50311"/>
    <w:rsid w:val="00C506C8"/>
    <w:rsid w:val="00C50C10"/>
    <w:rsid w:val="00C52138"/>
    <w:rsid w:val="00C52FFC"/>
    <w:rsid w:val="00C55697"/>
    <w:rsid w:val="00C558E2"/>
    <w:rsid w:val="00C56241"/>
    <w:rsid w:val="00C570C8"/>
    <w:rsid w:val="00C5796C"/>
    <w:rsid w:val="00C607EF"/>
    <w:rsid w:val="00C615B0"/>
    <w:rsid w:val="00C61BF4"/>
    <w:rsid w:val="00C61D74"/>
    <w:rsid w:val="00C61FD2"/>
    <w:rsid w:val="00C62079"/>
    <w:rsid w:val="00C63344"/>
    <w:rsid w:val="00C63C0D"/>
    <w:rsid w:val="00C64584"/>
    <w:rsid w:val="00C65105"/>
    <w:rsid w:val="00C65117"/>
    <w:rsid w:val="00C653EB"/>
    <w:rsid w:val="00C655CE"/>
    <w:rsid w:val="00C66B95"/>
    <w:rsid w:val="00C67CA7"/>
    <w:rsid w:val="00C7270F"/>
    <w:rsid w:val="00C72989"/>
    <w:rsid w:val="00C72B74"/>
    <w:rsid w:val="00C74A73"/>
    <w:rsid w:val="00C74CCB"/>
    <w:rsid w:val="00C7500F"/>
    <w:rsid w:val="00C75480"/>
    <w:rsid w:val="00C75BFF"/>
    <w:rsid w:val="00C75FA8"/>
    <w:rsid w:val="00C769F2"/>
    <w:rsid w:val="00C76D10"/>
    <w:rsid w:val="00C77210"/>
    <w:rsid w:val="00C77712"/>
    <w:rsid w:val="00C77EEE"/>
    <w:rsid w:val="00C8033D"/>
    <w:rsid w:val="00C804BB"/>
    <w:rsid w:val="00C811F0"/>
    <w:rsid w:val="00C814BB"/>
    <w:rsid w:val="00C815DB"/>
    <w:rsid w:val="00C81A5B"/>
    <w:rsid w:val="00C83599"/>
    <w:rsid w:val="00C8359B"/>
    <w:rsid w:val="00C8398B"/>
    <w:rsid w:val="00C841DD"/>
    <w:rsid w:val="00C85A7D"/>
    <w:rsid w:val="00C85DDE"/>
    <w:rsid w:val="00C86519"/>
    <w:rsid w:val="00C87BF1"/>
    <w:rsid w:val="00C87D7D"/>
    <w:rsid w:val="00C87DC9"/>
    <w:rsid w:val="00C9000D"/>
    <w:rsid w:val="00C90262"/>
    <w:rsid w:val="00C908CA"/>
    <w:rsid w:val="00C90E57"/>
    <w:rsid w:val="00C91A8A"/>
    <w:rsid w:val="00C9268A"/>
    <w:rsid w:val="00C937C1"/>
    <w:rsid w:val="00C937FB"/>
    <w:rsid w:val="00C95060"/>
    <w:rsid w:val="00C9601D"/>
    <w:rsid w:val="00C96286"/>
    <w:rsid w:val="00C96E6F"/>
    <w:rsid w:val="00C97D2F"/>
    <w:rsid w:val="00CA00E8"/>
    <w:rsid w:val="00CA1D9A"/>
    <w:rsid w:val="00CA3C96"/>
    <w:rsid w:val="00CA3D98"/>
    <w:rsid w:val="00CA4379"/>
    <w:rsid w:val="00CA61E4"/>
    <w:rsid w:val="00CA62F3"/>
    <w:rsid w:val="00CA6438"/>
    <w:rsid w:val="00CA7213"/>
    <w:rsid w:val="00CB098D"/>
    <w:rsid w:val="00CB09D2"/>
    <w:rsid w:val="00CB0E6A"/>
    <w:rsid w:val="00CB1645"/>
    <w:rsid w:val="00CB2F12"/>
    <w:rsid w:val="00CB3DFC"/>
    <w:rsid w:val="00CB4E57"/>
    <w:rsid w:val="00CB4FD3"/>
    <w:rsid w:val="00CB5DF3"/>
    <w:rsid w:val="00CB62F7"/>
    <w:rsid w:val="00CB6325"/>
    <w:rsid w:val="00CB7D39"/>
    <w:rsid w:val="00CB7E45"/>
    <w:rsid w:val="00CC0147"/>
    <w:rsid w:val="00CC0B14"/>
    <w:rsid w:val="00CC0F7F"/>
    <w:rsid w:val="00CC0FE7"/>
    <w:rsid w:val="00CC141C"/>
    <w:rsid w:val="00CC1447"/>
    <w:rsid w:val="00CC16AB"/>
    <w:rsid w:val="00CC29E4"/>
    <w:rsid w:val="00CC32F5"/>
    <w:rsid w:val="00CC3856"/>
    <w:rsid w:val="00CC392B"/>
    <w:rsid w:val="00CC44A3"/>
    <w:rsid w:val="00CC44BB"/>
    <w:rsid w:val="00CC4622"/>
    <w:rsid w:val="00CC5207"/>
    <w:rsid w:val="00CC57CA"/>
    <w:rsid w:val="00CC5BD3"/>
    <w:rsid w:val="00CC5C4E"/>
    <w:rsid w:val="00CC5CA0"/>
    <w:rsid w:val="00CC5CC1"/>
    <w:rsid w:val="00CC6BA9"/>
    <w:rsid w:val="00CC7777"/>
    <w:rsid w:val="00CC7F60"/>
    <w:rsid w:val="00CD001D"/>
    <w:rsid w:val="00CD0661"/>
    <w:rsid w:val="00CD1485"/>
    <w:rsid w:val="00CD260A"/>
    <w:rsid w:val="00CD2ED0"/>
    <w:rsid w:val="00CD3174"/>
    <w:rsid w:val="00CD3563"/>
    <w:rsid w:val="00CD441F"/>
    <w:rsid w:val="00CD4468"/>
    <w:rsid w:val="00CD4CFE"/>
    <w:rsid w:val="00CD4D53"/>
    <w:rsid w:val="00CD555E"/>
    <w:rsid w:val="00CD597D"/>
    <w:rsid w:val="00CD65B4"/>
    <w:rsid w:val="00CD7147"/>
    <w:rsid w:val="00CE0DBE"/>
    <w:rsid w:val="00CE3769"/>
    <w:rsid w:val="00CE4594"/>
    <w:rsid w:val="00CE474F"/>
    <w:rsid w:val="00CE4CD3"/>
    <w:rsid w:val="00CE5791"/>
    <w:rsid w:val="00CE6422"/>
    <w:rsid w:val="00CE6916"/>
    <w:rsid w:val="00CE6CA4"/>
    <w:rsid w:val="00CE7199"/>
    <w:rsid w:val="00CF14A8"/>
    <w:rsid w:val="00CF17FA"/>
    <w:rsid w:val="00CF1E64"/>
    <w:rsid w:val="00CF2D57"/>
    <w:rsid w:val="00CF32F8"/>
    <w:rsid w:val="00CF4720"/>
    <w:rsid w:val="00CF6272"/>
    <w:rsid w:val="00CF743C"/>
    <w:rsid w:val="00CF7651"/>
    <w:rsid w:val="00D002D5"/>
    <w:rsid w:val="00D014FE"/>
    <w:rsid w:val="00D02135"/>
    <w:rsid w:val="00D0310A"/>
    <w:rsid w:val="00D035AD"/>
    <w:rsid w:val="00D036DF"/>
    <w:rsid w:val="00D03B60"/>
    <w:rsid w:val="00D04495"/>
    <w:rsid w:val="00D048DD"/>
    <w:rsid w:val="00D05393"/>
    <w:rsid w:val="00D054E6"/>
    <w:rsid w:val="00D072F0"/>
    <w:rsid w:val="00D07483"/>
    <w:rsid w:val="00D11994"/>
    <w:rsid w:val="00D11B7C"/>
    <w:rsid w:val="00D124A3"/>
    <w:rsid w:val="00D12758"/>
    <w:rsid w:val="00D127AB"/>
    <w:rsid w:val="00D12F27"/>
    <w:rsid w:val="00D13011"/>
    <w:rsid w:val="00D13AAF"/>
    <w:rsid w:val="00D147B1"/>
    <w:rsid w:val="00D1488A"/>
    <w:rsid w:val="00D148EF"/>
    <w:rsid w:val="00D14ACD"/>
    <w:rsid w:val="00D15683"/>
    <w:rsid w:val="00D158DE"/>
    <w:rsid w:val="00D15B2E"/>
    <w:rsid w:val="00D16098"/>
    <w:rsid w:val="00D16797"/>
    <w:rsid w:val="00D16F02"/>
    <w:rsid w:val="00D16F68"/>
    <w:rsid w:val="00D173AA"/>
    <w:rsid w:val="00D173E1"/>
    <w:rsid w:val="00D20218"/>
    <w:rsid w:val="00D20568"/>
    <w:rsid w:val="00D20E7A"/>
    <w:rsid w:val="00D21BFE"/>
    <w:rsid w:val="00D230AF"/>
    <w:rsid w:val="00D2314F"/>
    <w:rsid w:val="00D236E0"/>
    <w:rsid w:val="00D23F45"/>
    <w:rsid w:val="00D2436F"/>
    <w:rsid w:val="00D2444B"/>
    <w:rsid w:val="00D24CD1"/>
    <w:rsid w:val="00D24D0E"/>
    <w:rsid w:val="00D25AD7"/>
    <w:rsid w:val="00D26618"/>
    <w:rsid w:val="00D27FC5"/>
    <w:rsid w:val="00D30AA6"/>
    <w:rsid w:val="00D30AAB"/>
    <w:rsid w:val="00D30DFE"/>
    <w:rsid w:val="00D320AB"/>
    <w:rsid w:val="00D324C1"/>
    <w:rsid w:val="00D330A2"/>
    <w:rsid w:val="00D33E55"/>
    <w:rsid w:val="00D33F09"/>
    <w:rsid w:val="00D3402A"/>
    <w:rsid w:val="00D36347"/>
    <w:rsid w:val="00D36E92"/>
    <w:rsid w:val="00D37686"/>
    <w:rsid w:val="00D376FF"/>
    <w:rsid w:val="00D37975"/>
    <w:rsid w:val="00D37E47"/>
    <w:rsid w:val="00D407EA"/>
    <w:rsid w:val="00D4195E"/>
    <w:rsid w:val="00D43ECE"/>
    <w:rsid w:val="00D44D00"/>
    <w:rsid w:val="00D45F80"/>
    <w:rsid w:val="00D46401"/>
    <w:rsid w:val="00D4694A"/>
    <w:rsid w:val="00D50CE2"/>
    <w:rsid w:val="00D52390"/>
    <w:rsid w:val="00D52936"/>
    <w:rsid w:val="00D529AD"/>
    <w:rsid w:val="00D53391"/>
    <w:rsid w:val="00D53739"/>
    <w:rsid w:val="00D53FB9"/>
    <w:rsid w:val="00D54C34"/>
    <w:rsid w:val="00D55D63"/>
    <w:rsid w:val="00D56654"/>
    <w:rsid w:val="00D56958"/>
    <w:rsid w:val="00D56B70"/>
    <w:rsid w:val="00D60ABC"/>
    <w:rsid w:val="00D630BF"/>
    <w:rsid w:val="00D63AC5"/>
    <w:rsid w:val="00D64258"/>
    <w:rsid w:val="00D64668"/>
    <w:rsid w:val="00D6582B"/>
    <w:rsid w:val="00D66042"/>
    <w:rsid w:val="00D66766"/>
    <w:rsid w:val="00D671B0"/>
    <w:rsid w:val="00D67CB4"/>
    <w:rsid w:val="00D71404"/>
    <w:rsid w:val="00D71B15"/>
    <w:rsid w:val="00D72CBE"/>
    <w:rsid w:val="00D73771"/>
    <w:rsid w:val="00D7493D"/>
    <w:rsid w:val="00D753C0"/>
    <w:rsid w:val="00D75F67"/>
    <w:rsid w:val="00D760AF"/>
    <w:rsid w:val="00D7715B"/>
    <w:rsid w:val="00D7756B"/>
    <w:rsid w:val="00D77A68"/>
    <w:rsid w:val="00D80973"/>
    <w:rsid w:val="00D81625"/>
    <w:rsid w:val="00D820B0"/>
    <w:rsid w:val="00D8252A"/>
    <w:rsid w:val="00D8295A"/>
    <w:rsid w:val="00D842BD"/>
    <w:rsid w:val="00D84645"/>
    <w:rsid w:val="00D852D4"/>
    <w:rsid w:val="00D85FC5"/>
    <w:rsid w:val="00D860F5"/>
    <w:rsid w:val="00D867CD"/>
    <w:rsid w:val="00D86F82"/>
    <w:rsid w:val="00D87055"/>
    <w:rsid w:val="00D87696"/>
    <w:rsid w:val="00D90504"/>
    <w:rsid w:val="00D90BBE"/>
    <w:rsid w:val="00D90D00"/>
    <w:rsid w:val="00D93524"/>
    <w:rsid w:val="00D94DB0"/>
    <w:rsid w:val="00D95D0E"/>
    <w:rsid w:val="00D964E3"/>
    <w:rsid w:val="00D974B6"/>
    <w:rsid w:val="00D97960"/>
    <w:rsid w:val="00DA0BDA"/>
    <w:rsid w:val="00DA0C62"/>
    <w:rsid w:val="00DA1CD8"/>
    <w:rsid w:val="00DA2231"/>
    <w:rsid w:val="00DA239E"/>
    <w:rsid w:val="00DA264B"/>
    <w:rsid w:val="00DA2C66"/>
    <w:rsid w:val="00DA2DA1"/>
    <w:rsid w:val="00DA2F3F"/>
    <w:rsid w:val="00DA4340"/>
    <w:rsid w:val="00DA5E87"/>
    <w:rsid w:val="00DA64B2"/>
    <w:rsid w:val="00DA68EC"/>
    <w:rsid w:val="00DA6E86"/>
    <w:rsid w:val="00DA7445"/>
    <w:rsid w:val="00DA7C68"/>
    <w:rsid w:val="00DB066D"/>
    <w:rsid w:val="00DB06CF"/>
    <w:rsid w:val="00DB12E3"/>
    <w:rsid w:val="00DB2076"/>
    <w:rsid w:val="00DB2620"/>
    <w:rsid w:val="00DB2B1A"/>
    <w:rsid w:val="00DB4A50"/>
    <w:rsid w:val="00DB4DD2"/>
    <w:rsid w:val="00DB529E"/>
    <w:rsid w:val="00DB5F8E"/>
    <w:rsid w:val="00DB6254"/>
    <w:rsid w:val="00DB7179"/>
    <w:rsid w:val="00DB7B64"/>
    <w:rsid w:val="00DC13B3"/>
    <w:rsid w:val="00DC1855"/>
    <w:rsid w:val="00DC22DA"/>
    <w:rsid w:val="00DC278A"/>
    <w:rsid w:val="00DC2CDD"/>
    <w:rsid w:val="00DC31D9"/>
    <w:rsid w:val="00DC391F"/>
    <w:rsid w:val="00DC3969"/>
    <w:rsid w:val="00DC57B7"/>
    <w:rsid w:val="00DC598C"/>
    <w:rsid w:val="00DC5F46"/>
    <w:rsid w:val="00DC60D4"/>
    <w:rsid w:val="00DC7F1E"/>
    <w:rsid w:val="00DD001D"/>
    <w:rsid w:val="00DD077A"/>
    <w:rsid w:val="00DD11EB"/>
    <w:rsid w:val="00DD1473"/>
    <w:rsid w:val="00DD440A"/>
    <w:rsid w:val="00DD4828"/>
    <w:rsid w:val="00DD4A0E"/>
    <w:rsid w:val="00DD4A32"/>
    <w:rsid w:val="00DD4D0F"/>
    <w:rsid w:val="00DD5924"/>
    <w:rsid w:val="00DD5FD1"/>
    <w:rsid w:val="00DD658F"/>
    <w:rsid w:val="00DD7327"/>
    <w:rsid w:val="00DD7ADB"/>
    <w:rsid w:val="00DE1F23"/>
    <w:rsid w:val="00DE2514"/>
    <w:rsid w:val="00DE33F0"/>
    <w:rsid w:val="00DE3F73"/>
    <w:rsid w:val="00DE5239"/>
    <w:rsid w:val="00DE53F9"/>
    <w:rsid w:val="00DE769F"/>
    <w:rsid w:val="00DE7B4B"/>
    <w:rsid w:val="00DF06D3"/>
    <w:rsid w:val="00DF0DEE"/>
    <w:rsid w:val="00DF1486"/>
    <w:rsid w:val="00DF2164"/>
    <w:rsid w:val="00DF3DBD"/>
    <w:rsid w:val="00DF4248"/>
    <w:rsid w:val="00DF50AA"/>
    <w:rsid w:val="00DF5417"/>
    <w:rsid w:val="00DF6371"/>
    <w:rsid w:val="00DF6A00"/>
    <w:rsid w:val="00DF6C59"/>
    <w:rsid w:val="00DF6E9A"/>
    <w:rsid w:val="00DF7D2B"/>
    <w:rsid w:val="00E0073E"/>
    <w:rsid w:val="00E00C6D"/>
    <w:rsid w:val="00E011EC"/>
    <w:rsid w:val="00E01459"/>
    <w:rsid w:val="00E017C3"/>
    <w:rsid w:val="00E01994"/>
    <w:rsid w:val="00E01DBA"/>
    <w:rsid w:val="00E02DB7"/>
    <w:rsid w:val="00E0335A"/>
    <w:rsid w:val="00E03E61"/>
    <w:rsid w:val="00E0419D"/>
    <w:rsid w:val="00E04279"/>
    <w:rsid w:val="00E04C02"/>
    <w:rsid w:val="00E05A97"/>
    <w:rsid w:val="00E065C7"/>
    <w:rsid w:val="00E06E36"/>
    <w:rsid w:val="00E0778E"/>
    <w:rsid w:val="00E07DFC"/>
    <w:rsid w:val="00E11490"/>
    <w:rsid w:val="00E11879"/>
    <w:rsid w:val="00E1201B"/>
    <w:rsid w:val="00E13225"/>
    <w:rsid w:val="00E1394E"/>
    <w:rsid w:val="00E1429A"/>
    <w:rsid w:val="00E1436F"/>
    <w:rsid w:val="00E143E8"/>
    <w:rsid w:val="00E144B8"/>
    <w:rsid w:val="00E14540"/>
    <w:rsid w:val="00E14E25"/>
    <w:rsid w:val="00E15086"/>
    <w:rsid w:val="00E16B3B"/>
    <w:rsid w:val="00E16B8E"/>
    <w:rsid w:val="00E17B6F"/>
    <w:rsid w:val="00E20215"/>
    <w:rsid w:val="00E20EE2"/>
    <w:rsid w:val="00E21448"/>
    <w:rsid w:val="00E21AD8"/>
    <w:rsid w:val="00E226A8"/>
    <w:rsid w:val="00E22DE2"/>
    <w:rsid w:val="00E22EEB"/>
    <w:rsid w:val="00E235AA"/>
    <w:rsid w:val="00E245B6"/>
    <w:rsid w:val="00E25A10"/>
    <w:rsid w:val="00E25D88"/>
    <w:rsid w:val="00E272D1"/>
    <w:rsid w:val="00E2786B"/>
    <w:rsid w:val="00E27A58"/>
    <w:rsid w:val="00E30143"/>
    <w:rsid w:val="00E3019E"/>
    <w:rsid w:val="00E3073C"/>
    <w:rsid w:val="00E31403"/>
    <w:rsid w:val="00E318B2"/>
    <w:rsid w:val="00E319CE"/>
    <w:rsid w:val="00E31DB4"/>
    <w:rsid w:val="00E31DC1"/>
    <w:rsid w:val="00E32928"/>
    <w:rsid w:val="00E338A6"/>
    <w:rsid w:val="00E341A1"/>
    <w:rsid w:val="00E351F5"/>
    <w:rsid w:val="00E3579C"/>
    <w:rsid w:val="00E35B8B"/>
    <w:rsid w:val="00E35DE0"/>
    <w:rsid w:val="00E401B4"/>
    <w:rsid w:val="00E4089D"/>
    <w:rsid w:val="00E41277"/>
    <w:rsid w:val="00E416F7"/>
    <w:rsid w:val="00E41A96"/>
    <w:rsid w:val="00E42346"/>
    <w:rsid w:val="00E42781"/>
    <w:rsid w:val="00E42F1B"/>
    <w:rsid w:val="00E44CA3"/>
    <w:rsid w:val="00E45C50"/>
    <w:rsid w:val="00E45D79"/>
    <w:rsid w:val="00E46403"/>
    <w:rsid w:val="00E46D1C"/>
    <w:rsid w:val="00E50AFF"/>
    <w:rsid w:val="00E51CA1"/>
    <w:rsid w:val="00E538CF"/>
    <w:rsid w:val="00E53EF9"/>
    <w:rsid w:val="00E54219"/>
    <w:rsid w:val="00E54245"/>
    <w:rsid w:val="00E548C1"/>
    <w:rsid w:val="00E55376"/>
    <w:rsid w:val="00E5696C"/>
    <w:rsid w:val="00E56EE4"/>
    <w:rsid w:val="00E575F4"/>
    <w:rsid w:val="00E6002A"/>
    <w:rsid w:val="00E6009D"/>
    <w:rsid w:val="00E60DF3"/>
    <w:rsid w:val="00E60FE8"/>
    <w:rsid w:val="00E61154"/>
    <w:rsid w:val="00E61F72"/>
    <w:rsid w:val="00E62D1A"/>
    <w:rsid w:val="00E631A6"/>
    <w:rsid w:val="00E6342D"/>
    <w:rsid w:val="00E63EF5"/>
    <w:rsid w:val="00E63F57"/>
    <w:rsid w:val="00E649A6"/>
    <w:rsid w:val="00E653D2"/>
    <w:rsid w:val="00E65B86"/>
    <w:rsid w:val="00E66380"/>
    <w:rsid w:val="00E66942"/>
    <w:rsid w:val="00E70064"/>
    <w:rsid w:val="00E70BBD"/>
    <w:rsid w:val="00E739D2"/>
    <w:rsid w:val="00E742CA"/>
    <w:rsid w:val="00E754FE"/>
    <w:rsid w:val="00E759B0"/>
    <w:rsid w:val="00E75B7C"/>
    <w:rsid w:val="00E766FD"/>
    <w:rsid w:val="00E77437"/>
    <w:rsid w:val="00E805AB"/>
    <w:rsid w:val="00E81CC4"/>
    <w:rsid w:val="00E81CF6"/>
    <w:rsid w:val="00E83383"/>
    <w:rsid w:val="00E843AC"/>
    <w:rsid w:val="00E8511B"/>
    <w:rsid w:val="00E85351"/>
    <w:rsid w:val="00E85831"/>
    <w:rsid w:val="00E86464"/>
    <w:rsid w:val="00E86CC6"/>
    <w:rsid w:val="00E873A6"/>
    <w:rsid w:val="00E904A0"/>
    <w:rsid w:val="00E906DF"/>
    <w:rsid w:val="00E9085B"/>
    <w:rsid w:val="00E90A29"/>
    <w:rsid w:val="00E90B6B"/>
    <w:rsid w:val="00E90BFF"/>
    <w:rsid w:val="00E91DD1"/>
    <w:rsid w:val="00E93516"/>
    <w:rsid w:val="00E9379C"/>
    <w:rsid w:val="00E93D22"/>
    <w:rsid w:val="00E9543A"/>
    <w:rsid w:val="00E95A66"/>
    <w:rsid w:val="00E95C63"/>
    <w:rsid w:val="00E97C42"/>
    <w:rsid w:val="00EA037C"/>
    <w:rsid w:val="00EA2494"/>
    <w:rsid w:val="00EA2AF9"/>
    <w:rsid w:val="00EA2C38"/>
    <w:rsid w:val="00EA3645"/>
    <w:rsid w:val="00EA3D36"/>
    <w:rsid w:val="00EA3F59"/>
    <w:rsid w:val="00EA3F5F"/>
    <w:rsid w:val="00EA46C5"/>
    <w:rsid w:val="00EA4F77"/>
    <w:rsid w:val="00EA5465"/>
    <w:rsid w:val="00EA5916"/>
    <w:rsid w:val="00EA725D"/>
    <w:rsid w:val="00EB03DC"/>
    <w:rsid w:val="00EB0520"/>
    <w:rsid w:val="00EB0649"/>
    <w:rsid w:val="00EB06D2"/>
    <w:rsid w:val="00EB07B3"/>
    <w:rsid w:val="00EB07CF"/>
    <w:rsid w:val="00EB1062"/>
    <w:rsid w:val="00EB1AE8"/>
    <w:rsid w:val="00EB1C3C"/>
    <w:rsid w:val="00EB1F9C"/>
    <w:rsid w:val="00EB21B7"/>
    <w:rsid w:val="00EB3394"/>
    <w:rsid w:val="00EB4CA9"/>
    <w:rsid w:val="00EB5550"/>
    <w:rsid w:val="00EB62CB"/>
    <w:rsid w:val="00EB6944"/>
    <w:rsid w:val="00EB6D21"/>
    <w:rsid w:val="00EB6D96"/>
    <w:rsid w:val="00EB7580"/>
    <w:rsid w:val="00EB7C68"/>
    <w:rsid w:val="00EC029C"/>
    <w:rsid w:val="00EC162B"/>
    <w:rsid w:val="00EC16B8"/>
    <w:rsid w:val="00EC22CE"/>
    <w:rsid w:val="00EC24F1"/>
    <w:rsid w:val="00EC2699"/>
    <w:rsid w:val="00EC27FA"/>
    <w:rsid w:val="00EC34B7"/>
    <w:rsid w:val="00EC367B"/>
    <w:rsid w:val="00EC4224"/>
    <w:rsid w:val="00EC424C"/>
    <w:rsid w:val="00EC4FD2"/>
    <w:rsid w:val="00EC525F"/>
    <w:rsid w:val="00EC56F0"/>
    <w:rsid w:val="00EC5B52"/>
    <w:rsid w:val="00EC6C8E"/>
    <w:rsid w:val="00ED0916"/>
    <w:rsid w:val="00ED0B27"/>
    <w:rsid w:val="00ED0FA6"/>
    <w:rsid w:val="00ED185E"/>
    <w:rsid w:val="00ED1D40"/>
    <w:rsid w:val="00ED1FBB"/>
    <w:rsid w:val="00ED201B"/>
    <w:rsid w:val="00ED22AB"/>
    <w:rsid w:val="00ED2DCD"/>
    <w:rsid w:val="00ED3471"/>
    <w:rsid w:val="00ED37DA"/>
    <w:rsid w:val="00ED3801"/>
    <w:rsid w:val="00ED3CE4"/>
    <w:rsid w:val="00ED3D36"/>
    <w:rsid w:val="00ED40C5"/>
    <w:rsid w:val="00ED46EA"/>
    <w:rsid w:val="00ED53B4"/>
    <w:rsid w:val="00ED54CF"/>
    <w:rsid w:val="00ED5822"/>
    <w:rsid w:val="00ED767E"/>
    <w:rsid w:val="00EE064C"/>
    <w:rsid w:val="00EE0A7B"/>
    <w:rsid w:val="00EE0D52"/>
    <w:rsid w:val="00EE16A4"/>
    <w:rsid w:val="00EE29D4"/>
    <w:rsid w:val="00EE3341"/>
    <w:rsid w:val="00EE59EF"/>
    <w:rsid w:val="00EE60C0"/>
    <w:rsid w:val="00EE6BB2"/>
    <w:rsid w:val="00EE700C"/>
    <w:rsid w:val="00EE71A3"/>
    <w:rsid w:val="00EE7F97"/>
    <w:rsid w:val="00EF0331"/>
    <w:rsid w:val="00EF05C1"/>
    <w:rsid w:val="00EF0A22"/>
    <w:rsid w:val="00EF1941"/>
    <w:rsid w:val="00EF2795"/>
    <w:rsid w:val="00EF3C45"/>
    <w:rsid w:val="00EF508A"/>
    <w:rsid w:val="00EF577B"/>
    <w:rsid w:val="00EF674E"/>
    <w:rsid w:val="00EF72AC"/>
    <w:rsid w:val="00EF74ED"/>
    <w:rsid w:val="00EF7BB6"/>
    <w:rsid w:val="00F00755"/>
    <w:rsid w:val="00F00849"/>
    <w:rsid w:val="00F01600"/>
    <w:rsid w:val="00F0221E"/>
    <w:rsid w:val="00F02394"/>
    <w:rsid w:val="00F02A62"/>
    <w:rsid w:val="00F02AEC"/>
    <w:rsid w:val="00F02D35"/>
    <w:rsid w:val="00F03298"/>
    <w:rsid w:val="00F04093"/>
    <w:rsid w:val="00F0429C"/>
    <w:rsid w:val="00F04910"/>
    <w:rsid w:val="00F04C50"/>
    <w:rsid w:val="00F05F6B"/>
    <w:rsid w:val="00F07128"/>
    <w:rsid w:val="00F071BE"/>
    <w:rsid w:val="00F07E99"/>
    <w:rsid w:val="00F103A8"/>
    <w:rsid w:val="00F1063F"/>
    <w:rsid w:val="00F109A8"/>
    <w:rsid w:val="00F11BFE"/>
    <w:rsid w:val="00F11EC2"/>
    <w:rsid w:val="00F12457"/>
    <w:rsid w:val="00F12F10"/>
    <w:rsid w:val="00F12F5D"/>
    <w:rsid w:val="00F13D88"/>
    <w:rsid w:val="00F154AC"/>
    <w:rsid w:val="00F1596E"/>
    <w:rsid w:val="00F15B60"/>
    <w:rsid w:val="00F16566"/>
    <w:rsid w:val="00F16EFC"/>
    <w:rsid w:val="00F16F07"/>
    <w:rsid w:val="00F1797A"/>
    <w:rsid w:val="00F17BC2"/>
    <w:rsid w:val="00F20F56"/>
    <w:rsid w:val="00F213B3"/>
    <w:rsid w:val="00F21542"/>
    <w:rsid w:val="00F21BE8"/>
    <w:rsid w:val="00F22F4E"/>
    <w:rsid w:val="00F23B69"/>
    <w:rsid w:val="00F23C5A"/>
    <w:rsid w:val="00F23EC3"/>
    <w:rsid w:val="00F24412"/>
    <w:rsid w:val="00F2456C"/>
    <w:rsid w:val="00F2459C"/>
    <w:rsid w:val="00F24936"/>
    <w:rsid w:val="00F253C1"/>
    <w:rsid w:val="00F25443"/>
    <w:rsid w:val="00F25EDA"/>
    <w:rsid w:val="00F262AF"/>
    <w:rsid w:val="00F2722C"/>
    <w:rsid w:val="00F27DAC"/>
    <w:rsid w:val="00F30382"/>
    <w:rsid w:val="00F30584"/>
    <w:rsid w:val="00F306A5"/>
    <w:rsid w:val="00F31803"/>
    <w:rsid w:val="00F31B8A"/>
    <w:rsid w:val="00F31E38"/>
    <w:rsid w:val="00F3390E"/>
    <w:rsid w:val="00F34011"/>
    <w:rsid w:val="00F3584B"/>
    <w:rsid w:val="00F35C8E"/>
    <w:rsid w:val="00F4073A"/>
    <w:rsid w:val="00F40C1A"/>
    <w:rsid w:val="00F41FFB"/>
    <w:rsid w:val="00F420FC"/>
    <w:rsid w:val="00F422EB"/>
    <w:rsid w:val="00F444E7"/>
    <w:rsid w:val="00F4477A"/>
    <w:rsid w:val="00F456EF"/>
    <w:rsid w:val="00F45EB9"/>
    <w:rsid w:val="00F46172"/>
    <w:rsid w:val="00F467F6"/>
    <w:rsid w:val="00F51142"/>
    <w:rsid w:val="00F521B9"/>
    <w:rsid w:val="00F5315B"/>
    <w:rsid w:val="00F536E8"/>
    <w:rsid w:val="00F53756"/>
    <w:rsid w:val="00F53D3D"/>
    <w:rsid w:val="00F54469"/>
    <w:rsid w:val="00F54846"/>
    <w:rsid w:val="00F55174"/>
    <w:rsid w:val="00F567A4"/>
    <w:rsid w:val="00F57B42"/>
    <w:rsid w:val="00F60270"/>
    <w:rsid w:val="00F602EC"/>
    <w:rsid w:val="00F613E5"/>
    <w:rsid w:val="00F62BBE"/>
    <w:rsid w:val="00F62D9E"/>
    <w:rsid w:val="00F632F0"/>
    <w:rsid w:val="00F63989"/>
    <w:rsid w:val="00F63F63"/>
    <w:rsid w:val="00F640C9"/>
    <w:rsid w:val="00F664B9"/>
    <w:rsid w:val="00F67381"/>
    <w:rsid w:val="00F6766C"/>
    <w:rsid w:val="00F67CD7"/>
    <w:rsid w:val="00F67E5F"/>
    <w:rsid w:val="00F67F38"/>
    <w:rsid w:val="00F70CA5"/>
    <w:rsid w:val="00F71143"/>
    <w:rsid w:val="00F71808"/>
    <w:rsid w:val="00F71BDB"/>
    <w:rsid w:val="00F73A49"/>
    <w:rsid w:val="00F743B7"/>
    <w:rsid w:val="00F751DF"/>
    <w:rsid w:val="00F765BC"/>
    <w:rsid w:val="00F76B08"/>
    <w:rsid w:val="00F76BE1"/>
    <w:rsid w:val="00F77AEE"/>
    <w:rsid w:val="00F80F16"/>
    <w:rsid w:val="00F81703"/>
    <w:rsid w:val="00F81E91"/>
    <w:rsid w:val="00F81ECA"/>
    <w:rsid w:val="00F82895"/>
    <w:rsid w:val="00F83500"/>
    <w:rsid w:val="00F841E7"/>
    <w:rsid w:val="00F848F3"/>
    <w:rsid w:val="00F849CF"/>
    <w:rsid w:val="00F85012"/>
    <w:rsid w:val="00F85A7B"/>
    <w:rsid w:val="00F863B1"/>
    <w:rsid w:val="00F86451"/>
    <w:rsid w:val="00F87332"/>
    <w:rsid w:val="00F8743F"/>
    <w:rsid w:val="00F878BD"/>
    <w:rsid w:val="00F87E46"/>
    <w:rsid w:val="00F87F26"/>
    <w:rsid w:val="00F911B9"/>
    <w:rsid w:val="00F9367F"/>
    <w:rsid w:val="00F944DA"/>
    <w:rsid w:val="00F9486E"/>
    <w:rsid w:val="00F949FA"/>
    <w:rsid w:val="00F95E0A"/>
    <w:rsid w:val="00F96210"/>
    <w:rsid w:val="00F967EC"/>
    <w:rsid w:val="00F96E0E"/>
    <w:rsid w:val="00F972E2"/>
    <w:rsid w:val="00F97585"/>
    <w:rsid w:val="00FA004E"/>
    <w:rsid w:val="00FA0A5C"/>
    <w:rsid w:val="00FA16AE"/>
    <w:rsid w:val="00FA1E2A"/>
    <w:rsid w:val="00FA242D"/>
    <w:rsid w:val="00FA2545"/>
    <w:rsid w:val="00FA2712"/>
    <w:rsid w:val="00FA36C3"/>
    <w:rsid w:val="00FA5187"/>
    <w:rsid w:val="00FA51FD"/>
    <w:rsid w:val="00FA5992"/>
    <w:rsid w:val="00FA5D27"/>
    <w:rsid w:val="00FA690C"/>
    <w:rsid w:val="00FA75F3"/>
    <w:rsid w:val="00FA7B1A"/>
    <w:rsid w:val="00FB078F"/>
    <w:rsid w:val="00FB0D5F"/>
    <w:rsid w:val="00FB0F91"/>
    <w:rsid w:val="00FB1C5D"/>
    <w:rsid w:val="00FB1D2B"/>
    <w:rsid w:val="00FB2099"/>
    <w:rsid w:val="00FB3084"/>
    <w:rsid w:val="00FB45A3"/>
    <w:rsid w:val="00FB5667"/>
    <w:rsid w:val="00FB5F30"/>
    <w:rsid w:val="00FB6116"/>
    <w:rsid w:val="00FB69D5"/>
    <w:rsid w:val="00FB72C1"/>
    <w:rsid w:val="00FB73FA"/>
    <w:rsid w:val="00FC0194"/>
    <w:rsid w:val="00FC292B"/>
    <w:rsid w:val="00FC31AA"/>
    <w:rsid w:val="00FC3644"/>
    <w:rsid w:val="00FC36BE"/>
    <w:rsid w:val="00FC3F4E"/>
    <w:rsid w:val="00FC477C"/>
    <w:rsid w:val="00FC5031"/>
    <w:rsid w:val="00FC57DA"/>
    <w:rsid w:val="00FC597C"/>
    <w:rsid w:val="00FC5A92"/>
    <w:rsid w:val="00FC5AD8"/>
    <w:rsid w:val="00FC5B0A"/>
    <w:rsid w:val="00FC74D4"/>
    <w:rsid w:val="00FC7597"/>
    <w:rsid w:val="00FC7F2B"/>
    <w:rsid w:val="00FD1238"/>
    <w:rsid w:val="00FD2C86"/>
    <w:rsid w:val="00FD301B"/>
    <w:rsid w:val="00FD3B7E"/>
    <w:rsid w:val="00FD3CB8"/>
    <w:rsid w:val="00FD4B83"/>
    <w:rsid w:val="00FD60EF"/>
    <w:rsid w:val="00FD6141"/>
    <w:rsid w:val="00FD67A0"/>
    <w:rsid w:val="00FD7606"/>
    <w:rsid w:val="00FD7CBE"/>
    <w:rsid w:val="00FE0212"/>
    <w:rsid w:val="00FE086D"/>
    <w:rsid w:val="00FE0A1D"/>
    <w:rsid w:val="00FE1628"/>
    <w:rsid w:val="00FE1732"/>
    <w:rsid w:val="00FE2D17"/>
    <w:rsid w:val="00FE3BC2"/>
    <w:rsid w:val="00FE6122"/>
    <w:rsid w:val="00FE6245"/>
    <w:rsid w:val="00FE6484"/>
    <w:rsid w:val="00FE7019"/>
    <w:rsid w:val="00FE709C"/>
    <w:rsid w:val="00FE7642"/>
    <w:rsid w:val="00FE78E2"/>
    <w:rsid w:val="00FE796E"/>
    <w:rsid w:val="00FE7EFB"/>
    <w:rsid w:val="00FF1360"/>
    <w:rsid w:val="00FF1670"/>
    <w:rsid w:val="00FF1AF6"/>
    <w:rsid w:val="00FF1C8F"/>
    <w:rsid w:val="00FF25E6"/>
    <w:rsid w:val="00FF2857"/>
    <w:rsid w:val="00FF2BF9"/>
    <w:rsid w:val="00FF40B5"/>
    <w:rsid w:val="00FF5211"/>
    <w:rsid w:val="00FF52C6"/>
    <w:rsid w:val="00FF5411"/>
    <w:rsid w:val="00FF5F72"/>
    <w:rsid w:val="00FF6895"/>
    <w:rsid w:val="00FF6EFA"/>
    <w:rsid w:val="00FF7C22"/>
    <w:rsid w:val="022A24F9"/>
    <w:rsid w:val="03EB2FA0"/>
    <w:rsid w:val="04405EF6"/>
    <w:rsid w:val="04A02E83"/>
    <w:rsid w:val="068A104B"/>
    <w:rsid w:val="069D4B8F"/>
    <w:rsid w:val="06A70FA8"/>
    <w:rsid w:val="0706749B"/>
    <w:rsid w:val="077447E2"/>
    <w:rsid w:val="079D45F0"/>
    <w:rsid w:val="07FC61BF"/>
    <w:rsid w:val="08374DB6"/>
    <w:rsid w:val="09830D83"/>
    <w:rsid w:val="098B36A6"/>
    <w:rsid w:val="09A8465B"/>
    <w:rsid w:val="09D73DBF"/>
    <w:rsid w:val="0A38403E"/>
    <w:rsid w:val="0A4E151A"/>
    <w:rsid w:val="0AC30F98"/>
    <w:rsid w:val="0C216A77"/>
    <w:rsid w:val="0C3E09B6"/>
    <w:rsid w:val="0C5A4EAB"/>
    <w:rsid w:val="0D0D22CE"/>
    <w:rsid w:val="0D384AAE"/>
    <w:rsid w:val="0D814B32"/>
    <w:rsid w:val="0D88301D"/>
    <w:rsid w:val="0DFF2BB1"/>
    <w:rsid w:val="0E1620B4"/>
    <w:rsid w:val="0E2140BC"/>
    <w:rsid w:val="0E8637EC"/>
    <w:rsid w:val="0EAA6551"/>
    <w:rsid w:val="0EB56620"/>
    <w:rsid w:val="0EC64CCC"/>
    <w:rsid w:val="0F230163"/>
    <w:rsid w:val="0F251BDF"/>
    <w:rsid w:val="0FBD2D0B"/>
    <w:rsid w:val="0FD33299"/>
    <w:rsid w:val="0FE81298"/>
    <w:rsid w:val="106147F4"/>
    <w:rsid w:val="1078733F"/>
    <w:rsid w:val="10873423"/>
    <w:rsid w:val="108848F3"/>
    <w:rsid w:val="10BD3AFE"/>
    <w:rsid w:val="11812494"/>
    <w:rsid w:val="120A7BA4"/>
    <w:rsid w:val="12137E36"/>
    <w:rsid w:val="125F0CF9"/>
    <w:rsid w:val="12A53348"/>
    <w:rsid w:val="13744B13"/>
    <w:rsid w:val="145213F0"/>
    <w:rsid w:val="16AF1750"/>
    <w:rsid w:val="171044E1"/>
    <w:rsid w:val="171D0AC7"/>
    <w:rsid w:val="174D4478"/>
    <w:rsid w:val="17D11196"/>
    <w:rsid w:val="180824B4"/>
    <w:rsid w:val="18D11035"/>
    <w:rsid w:val="1CCC29CD"/>
    <w:rsid w:val="1CF31F59"/>
    <w:rsid w:val="1D41530D"/>
    <w:rsid w:val="1D945B4D"/>
    <w:rsid w:val="1DB54549"/>
    <w:rsid w:val="1DD93A3D"/>
    <w:rsid w:val="1F037EC0"/>
    <w:rsid w:val="1F4358CE"/>
    <w:rsid w:val="1FCB6BA4"/>
    <w:rsid w:val="1FDB621A"/>
    <w:rsid w:val="2044557A"/>
    <w:rsid w:val="21345E44"/>
    <w:rsid w:val="21CA7CC4"/>
    <w:rsid w:val="241259EC"/>
    <w:rsid w:val="2452159D"/>
    <w:rsid w:val="24F93DFC"/>
    <w:rsid w:val="25EA7C01"/>
    <w:rsid w:val="25F25DA3"/>
    <w:rsid w:val="26965E06"/>
    <w:rsid w:val="26A63197"/>
    <w:rsid w:val="27126FD3"/>
    <w:rsid w:val="27335803"/>
    <w:rsid w:val="28655A43"/>
    <w:rsid w:val="28BD3A65"/>
    <w:rsid w:val="29C47A7C"/>
    <w:rsid w:val="29CA4DF2"/>
    <w:rsid w:val="2A674E68"/>
    <w:rsid w:val="2ADB36DD"/>
    <w:rsid w:val="2B3E3227"/>
    <w:rsid w:val="2BB6300F"/>
    <w:rsid w:val="2BE86F8F"/>
    <w:rsid w:val="2BF651CD"/>
    <w:rsid w:val="2C0B1F53"/>
    <w:rsid w:val="2C19330A"/>
    <w:rsid w:val="2C3212E9"/>
    <w:rsid w:val="2C356BD8"/>
    <w:rsid w:val="2C6E539E"/>
    <w:rsid w:val="2C7E0510"/>
    <w:rsid w:val="2C811746"/>
    <w:rsid w:val="2CA9684C"/>
    <w:rsid w:val="2F071CAC"/>
    <w:rsid w:val="2FEE1903"/>
    <w:rsid w:val="2FF01D64"/>
    <w:rsid w:val="3010532B"/>
    <w:rsid w:val="304327DA"/>
    <w:rsid w:val="30823FA7"/>
    <w:rsid w:val="314D2258"/>
    <w:rsid w:val="31F9513B"/>
    <w:rsid w:val="321A427D"/>
    <w:rsid w:val="32A71F24"/>
    <w:rsid w:val="33062CD7"/>
    <w:rsid w:val="330A6560"/>
    <w:rsid w:val="331A7E23"/>
    <w:rsid w:val="33841D18"/>
    <w:rsid w:val="34B3624E"/>
    <w:rsid w:val="34DC5CA2"/>
    <w:rsid w:val="35190CDB"/>
    <w:rsid w:val="35A92553"/>
    <w:rsid w:val="361F0F4A"/>
    <w:rsid w:val="36C0257D"/>
    <w:rsid w:val="37073232"/>
    <w:rsid w:val="37C23B30"/>
    <w:rsid w:val="38F82890"/>
    <w:rsid w:val="394A3E7E"/>
    <w:rsid w:val="394C4EDC"/>
    <w:rsid w:val="39B236CC"/>
    <w:rsid w:val="3A2969FA"/>
    <w:rsid w:val="3A341F08"/>
    <w:rsid w:val="3AE72AE5"/>
    <w:rsid w:val="3AF85EEE"/>
    <w:rsid w:val="3B504068"/>
    <w:rsid w:val="3BC470BD"/>
    <w:rsid w:val="3C23139E"/>
    <w:rsid w:val="3C4350ED"/>
    <w:rsid w:val="3C4B2D01"/>
    <w:rsid w:val="3C823387"/>
    <w:rsid w:val="3CAA2484"/>
    <w:rsid w:val="3CAA7574"/>
    <w:rsid w:val="3CE66E35"/>
    <w:rsid w:val="3DB217C2"/>
    <w:rsid w:val="3E052F66"/>
    <w:rsid w:val="3E4C15B5"/>
    <w:rsid w:val="3EB762D7"/>
    <w:rsid w:val="3FBE5B76"/>
    <w:rsid w:val="3FE42BCC"/>
    <w:rsid w:val="4064441D"/>
    <w:rsid w:val="42285C24"/>
    <w:rsid w:val="4312498F"/>
    <w:rsid w:val="433E0FC6"/>
    <w:rsid w:val="436539B1"/>
    <w:rsid w:val="43C668DA"/>
    <w:rsid w:val="44120AFF"/>
    <w:rsid w:val="441456EC"/>
    <w:rsid w:val="44F0182B"/>
    <w:rsid w:val="45517115"/>
    <w:rsid w:val="45627C20"/>
    <w:rsid w:val="45785B6C"/>
    <w:rsid w:val="46131203"/>
    <w:rsid w:val="46EF1CFE"/>
    <w:rsid w:val="47287231"/>
    <w:rsid w:val="478661F5"/>
    <w:rsid w:val="47A25B16"/>
    <w:rsid w:val="48A95395"/>
    <w:rsid w:val="49486026"/>
    <w:rsid w:val="4A102765"/>
    <w:rsid w:val="4A2E421F"/>
    <w:rsid w:val="4A427B39"/>
    <w:rsid w:val="4A486BE3"/>
    <w:rsid w:val="4A7D713C"/>
    <w:rsid w:val="4AED62AE"/>
    <w:rsid w:val="4B4E30FB"/>
    <w:rsid w:val="4B981B10"/>
    <w:rsid w:val="4CB6316F"/>
    <w:rsid w:val="4CE369CD"/>
    <w:rsid w:val="4D7A58DD"/>
    <w:rsid w:val="4E114F58"/>
    <w:rsid w:val="4E1338A3"/>
    <w:rsid w:val="4E7C1A35"/>
    <w:rsid w:val="4E7D68EB"/>
    <w:rsid w:val="4F1A2A61"/>
    <w:rsid w:val="4FDD2984"/>
    <w:rsid w:val="50523477"/>
    <w:rsid w:val="50935B73"/>
    <w:rsid w:val="50BE76DA"/>
    <w:rsid w:val="511F710F"/>
    <w:rsid w:val="51662B43"/>
    <w:rsid w:val="51B17942"/>
    <w:rsid w:val="51BA4184"/>
    <w:rsid w:val="52370303"/>
    <w:rsid w:val="53763B66"/>
    <w:rsid w:val="5459635C"/>
    <w:rsid w:val="5495676B"/>
    <w:rsid w:val="54B131D6"/>
    <w:rsid w:val="551533DE"/>
    <w:rsid w:val="55AB7138"/>
    <w:rsid w:val="567A52C6"/>
    <w:rsid w:val="569C407C"/>
    <w:rsid w:val="578058D9"/>
    <w:rsid w:val="57E57A41"/>
    <w:rsid w:val="59631DEB"/>
    <w:rsid w:val="5991445D"/>
    <w:rsid w:val="5A860808"/>
    <w:rsid w:val="5B886589"/>
    <w:rsid w:val="5B951C6B"/>
    <w:rsid w:val="5CC80316"/>
    <w:rsid w:val="5D2B2938"/>
    <w:rsid w:val="5DA178D6"/>
    <w:rsid w:val="5DD1711E"/>
    <w:rsid w:val="5DF33781"/>
    <w:rsid w:val="5FDC70CD"/>
    <w:rsid w:val="60134937"/>
    <w:rsid w:val="604C40B3"/>
    <w:rsid w:val="60AE3732"/>
    <w:rsid w:val="61175CF4"/>
    <w:rsid w:val="61D82D01"/>
    <w:rsid w:val="62021BE4"/>
    <w:rsid w:val="62716E40"/>
    <w:rsid w:val="63481E73"/>
    <w:rsid w:val="641F50C4"/>
    <w:rsid w:val="64C328E1"/>
    <w:rsid w:val="64C84FC1"/>
    <w:rsid w:val="64D86291"/>
    <w:rsid w:val="655C3703"/>
    <w:rsid w:val="659E04DE"/>
    <w:rsid w:val="65AA3C9A"/>
    <w:rsid w:val="66114193"/>
    <w:rsid w:val="66FA4EFC"/>
    <w:rsid w:val="67184010"/>
    <w:rsid w:val="685D0DE4"/>
    <w:rsid w:val="68AA2B09"/>
    <w:rsid w:val="68E475A4"/>
    <w:rsid w:val="68FE1315"/>
    <w:rsid w:val="6A3A39F0"/>
    <w:rsid w:val="6B2C6E24"/>
    <w:rsid w:val="6B5749B8"/>
    <w:rsid w:val="6B964693"/>
    <w:rsid w:val="6B990EDF"/>
    <w:rsid w:val="6C3564DA"/>
    <w:rsid w:val="6CA31EED"/>
    <w:rsid w:val="6CB60D73"/>
    <w:rsid w:val="6CD62F0C"/>
    <w:rsid w:val="6CDD3EB1"/>
    <w:rsid w:val="6CF47C5C"/>
    <w:rsid w:val="6D000D42"/>
    <w:rsid w:val="6E15643E"/>
    <w:rsid w:val="6EAA4190"/>
    <w:rsid w:val="703C1EB1"/>
    <w:rsid w:val="708130AA"/>
    <w:rsid w:val="70CF2F8E"/>
    <w:rsid w:val="70F83C83"/>
    <w:rsid w:val="712A4C7F"/>
    <w:rsid w:val="713C712D"/>
    <w:rsid w:val="71603BCB"/>
    <w:rsid w:val="71A7250B"/>
    <w:rsid w:val="71E67E34"/>
    <w:rsid w:val="72842349"/>
    <w:rsid w:val="72C95EE5"/>
    <w:rsid w:val="72CF4AFB"/>
    <w:rsid w:val="7326549C"/>
    <w:rsid w:val="73564118"/>
    <w:rsid w:val="738C6B72"/>
    <w:rsid w:val="739A2D1C"/>
    <w:rsid w:val="74E23D73"/>
    <w:rsid w:val="765B7604"/>
    <w:rsid w:val="76A806BB"/>
    <w:rsid w:val="772C28E5"/>
    <w:rsid w:val="778C2124"/>
    <w:rsid w:val="77D86041"/>
    <w:rsid w:val="790A61A7"/>
    <w:rsid w:val="794F216E"/>
    <w:rsid w:val="7A0443DD"/>
    <w:rsid w:val="7A502539"/>
    <w:rsid w:val="7A5F5564"/>
    <w:rsid w:val="7A69653B"/>
    <w:rsid w:val="7A773DF1"/>
    <w:rsid w:val="7AB447DF"/>
    <w:rsid w:val="7B59285E"/>
    <w:rsid w:val="7BDA06AB"/>
    <w:rsid w:val="7BDF18ED"/>
    <w:rsid w:val="7C174F22"/>
    <w:rsid w:val="7C8E2E37"/>
    <w:rsid w:val="7D290473"/>
    <w:rsid w:val="7DB15836"/>
    <w:rsid w:val="7E347FAF"/>
    <w:rsid w:val="7E6C0DEA"/>
    <w:rsid w:val="7E9E5FB3"/>
    <w:rsid w:val="7F2A531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2"/>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9" w:semiHidden="0" w:name="heading 1"/>
    <w:lsdException w:qFormat="1" w:unhideWhenUsed="0" w:uiPriority="0" w:semiHidden="0" w:name="heading 2"/>
    <w:lsdException w:qFormat="1" w:unhideWhenUsed="0" w:uiPriority="0" w:semiHidden="0" w:name="heading 3"/>
    <w:lsdException w:qFormat="1" w:unhideWhenUsed="0" w:uiPriority="0" w:semiHidden="0" w:name="heading 4"/>
    <w:lsdException w:qFormat="1" w:unhideWhenUsed="0" w:uiPriority="0" w:semiHidden="0" w:name="heading 5"/>
    <w:lsdException w:qFormat="1" w:unhideWhenUsed="0" w:uiPriority="0" w:semiHidden="0" w:name="heading 6"/>
    <w:lsdException w:qFormat="1" w:unhideWhenUsed="0" w:uiPriority="0" w:semiHidden="0" w:name="heading 7"/>
    <w:lsdException w:qFormat="1" w:unhideWhenUsed="0" w:uiPriority="0" w:semiHidden="0" w:name="heading 8"/>
    <w:lsdException w:qFormat="1" w:unhideWhenUsed="0" w:uiPriority="0" w:semiHidden="0" w:name="heading 9"/>
    <w:lsdException w:qFormat="1" w:unhideWhenUsed="0" w:uiPriority="99" w:semiHidden="0" w:name="index 1"/>
    <w:lsdException w:qFormat="1" w:unhideWhenUsed="0" w:uiPriority="0" w:semiHidden="0" w:name="index 2"/>
    <w:lsdException w:qFormat="1" w:unhideWhenUsed="0" w:uiPriority="0" w:semiHidden="0" w:name="index 3"/>
    <w:lsdException w:qFormat="1" w:unhideWhenUsed="0" w:uiPriority="0" w:semiHidden="0" w:name="index 4"/>
    <w:lsdException w:qFormat="1" w:unhideWhenUsed="0" w:uiPriority="0" w:semiHidden="0" w:name="index 5"/>
    <w:lsdException w:qFormat="1" w:unhideWhenUsed="0" w:uiPriority="0" w:semiHidden="0" w:name="index 6"/>
    <w:lsdException w:qFormat="1" w:unhideWhenUsed="0" w:uiPriority="0" w:semiHidden="0" w:name="index 7"/>
    <w:lsdException w:qFormat="1" w:unhideWhenUsed="0" w:uiPriority="0" w:semiHidden="0" w:name="index 8"/>
    <w:lsdException w:qFormat="1" w:unhideWhenUsed="0" w:uiPriority="0" w:semiHidden="0" w:name="index 9"/>
    <w:lsdException w:qFormat="1" w:unhideWhenUsed="0" w:uiPriority="39" w:semiHidden="0" w:name="toc 1"/>
    <w:lsdException w:qFormat="1" w:unhideWhenUsed="0" w:uiPriority="39" w:semiHidden="0" w:name="toc 2"/>
    <w:lsdException w:qFormat="1" w:unhideWhenUsed="0" w:uiPriority="39" w:semiHidden="0" w:name="toc 3"/>
    <w:lsdException w:qFormat="1" w:unhideWhenUsed="0" w:uiPriority="0" w:name="toc 4"/>
    <w:lsdException w:qFormat="1" w:unhideWhenUsed="0" w:uiPriority="0" w:semiHidden="0" w:name="toc 5"/>
    <w:lsdException w:qFormat="1" w:unhideWhenUsed="0" w:uiPriority="0" w:semiHidden="0" w:name="toc 6"/>
    <w:lsdException w:qFormat="1" w:unhideWhenUsed="0" w:uiPriority="0" w:semiHidden="0" w:name="toc 7"/>
    <w:lsdException w:qFormat="1" w:unhideWhenUsed="0" w:uiPriority="0" w:semiHidden="0" w:name="toc 8"/>
    <w:lsdException w:qFormat="1" w:unhideWhenUsed="0" w:uiPriority="0" w:semiHidden="0" w:name="toc 9"/>
    <w:lsdException w:qFormat="1" w:unhideWhenUsed="0" w:uiPriority="0" w:semiHidden="0" w:name="Normal Indent"/>
    <w:lsdException w:uiPriority="0" w:name="footnote text"/>
    <w:lsdException w:qFormat="1" w:unhideWhenUsed="0" w:uiPriority="99" w:semiHidden="0" w:name="annotation text"/>
    <w:lsdException w:qFormat="1" w:unhideWhenUsed="0" w:uiPriority="99" w:semiHidden="0" w:name="header"/>
    <w:lsdException w:qFormat="1" w:unhideWhenUsed="0" w:uiPriority="99" w:semiHidden="0" w:name="footer"/>
    <w:lsdException w:qFormat="1" w:unhideWhenUsed="0" w:uiPriority="0" w:semiHidden="0" w:name="index heading"/>
    <w:lsdException w:qFormat="1" w:unhideWhenUsed="0" w:uiPriority="0" w:semiHidden="0" w:name="caption"/>
    <w:lsdException w:uiPriority="0" w:name="table of figures"/>
    <w:lsdException w:uiPriority="0" w:name="envelope address"/>
    <w:lsdException w:uiPriority="0" w:name="envelope return"/>
    <w:lsdException w:uiPriority="0" w:name="footnote reference"/>
    <w:lsdException w:qFormat="1" w:unhideWhenUsed="0" w:uiPriority="0" w:semiHidden="0" w:name="annotation reference"/>
    <w:lsdException w:uiPriority="0" w:name="line number"/>
    <w:lsdException w:qFormat="1" w:unhideWhenUsed="0" w:uiPriority="0" w:semiHidden="0" w:name="page number"/>
    <w:lsdException w:uiPriority="0" w:name="endnote reference"/>
    <w:lsdException w:uiPriority="0" w:name="endnote text"/>
    <w:lsdException w:unhideWhenUsed="0" w:uiPriority="0" w:semiHidden="0" w:name="table of authorities"/>
    <w:lsdException w:uiPriority="0" w:name="macro"/>
    <w:lsdException w:uiPriority="0" w:name="toa heading"/>
    <w:lsdException w:qFormat="1" w:unhideWhenUsed="0" w:uiPriority="0" w:semiHidden="0" w:name="List"/>
    <w:lsdException w:unhideWhenUsed="0" w:uiPriority="0" w:semiHidden="0" w:name="List Bullet"/>
    <w:lsdException w:qFormat="1" w:unhideWhenUsed="0" w:uiPriority="0" w:semiHidden="0" w:name="List Number"/>
    <w:lsdException w:qFormat="1" w:unhideWhenUsed="0" w:uiPriority="0" w:semiHidden="0" w:name="List 2"/>
    <w:lsdException w:qFormat="1" w:unhideWhenUsed="0" w:uiPriority="0" w:semiHidden="0" w:name="List 3"/>
    <w:lsdException w:uiPriority="0" w:name="List 4"/>
    <w:lsdException w:uiPriority="0" w:name="List 5"/>
    <w:lsdException w:uiPriority="0" w:name="List Bullet 2"/>
    <w:lsdException w:uiPriority="0" w:name="List Bullet 3"/>
    <w:lsdException w:uiPriority="0" w:name="List Bullet 4"/>
    <w:lsdException w:uiPriority="0" w:name="List Bullet 5"/>
    <w:lsdException w:qFormat="1" w:unhideWhenUsed="0" w:uiPriority="0" w:semiHidden="0" w:name="List Number 2"/>
    <w:lsdException w:uiPriority="0" w:name="List Number 3"/>
    <w:lsdException w:uiPriority="0" w:name="List Number 4"/>
    <w:lsdException w:uiPriority="0" w:name="List Number 5"/>
    <w:lsdException w:qFormat="1" w:unhideWhenUsed="0" w:uiPriority="0" w:semiHidden="0" w:name="Title"/>
    <w:lsdException w:uiPriority="0" w:name="Closing"/>
    <w:lsdException w:qFormat="1" w:unhideWhenUsed="0" w:uiPriority="0" w:semiHidden="0" w:name="Signature"/>
    <w:lsdException w:qFormat="1" w:uiPriority="1" w:name="Default Paragraph Font"/>
    <w:lsdException w:qFormat="1" w:unhideWhenUsed="0" w:uiPriority="0" w:semiHidden="0" w:name="Body Text"/>
    <w:lsdException w:qFormat="1" w:unhideWhenUsed="0" w:uiPriority="0" w:semiHidden="0" w:name="Body Text Indent"/>
    <w:lsdException w:uiPriority="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iPriority="0" w:name="Message Header"/>
    <w:lsdException w:qFormat="1" w:unhideWhenUsed="0" w:uiPriority="0" w:semiHidden="0" w:name="Subtitle"/>
    <w:lsdException w:qFormat="1" w:unhideWhenUsed="0" w:uiPriority="0" w:semiHidden="0" w:name="Salutation"/>
    <w:lsdException w:qFormat="1" w:unhideWhenUsed="0" w:uiPriority="0" w:semiHidden="0" w:name="Date"/>
    <w:lsdException w:qFormat="1" w:unhideWhenUsed="0" w:uiPriority="0" w:semiHidden="0" w:name="Body Text First Indent"/>
    <w:lsdException w:qFormat="1" w:unhideWhenUsed="0" w:uiPriority="0" w:semiHidden="0" w:name="Body Text First Indent 2"/>
    <w:lsdException w:uiPriority="0" w:name="Note Heading"/>
    <w:lsdException w:qFormat="1" w:unhideWhenUsed="0" w:uiPriority="0" w:semiHidden="0" w:name="Body Text 2"/>
    <w:lsdException w:qFormat="1" w:unhideWhenUsed="0" w:uiPriority="0" w:semiHidden="0" w:name="Body Text 3"/>
    <w:lsdException w:qFormat="1" w:unhideWhenUsed="0" w:uiPriority="0" w:semiHidden="0" w:name="Body Text Indent 2"/>
    <w:lsdException w:qFormat="1" w:unhideWhenUsed="0" w:uiPriority="0" w:semiHidden="0" w:name="Body Text Indent 3"/>
    <w:lsdException w:qFormat="1" w:unhideWhenUsed="0" w:uiPriority="0" w:semiHidden="0" w:name="Block Text"/>
    <w:lsdException w:qFormat="1" w:unhideWhenUsed="0" w:uiPriority="0" w:semiHidden="0" w:name="Hyperlink"/>
    <w:lsdException w:qFormat="1" w:unhideWhenUsed="0" w:uiPriority="0" w:semiHidden="0" w:name="FollowedHyperlink"/>
    <w:lsdException w:qFormat="1" w:unhideWhenUsed="0" w:uiPriority="22" w:semiHidden="0" w:name="Strong"/>
    <w:lsdException w:qFormat="1" w:unhideWhenUsed="0" w:uiPriority="0" w:semiHidden="0" w:name="Emphasis"/>
    <w:lsdException w:qFormat="1" w:unhideWhenUsed="0" w:uiPriority="0" w:name="Document Map"/>
    <w:lsdException w:qFormat="1" w:unhideWhenUsed="0" w:uiPriority="0" w:semiHidden="0" w:name="Plain Text"/>
    <w:lsdException w:uiPriority="0" w:name="E-mail Signature"/>
    <w:lsdException w:qFormat="1" w:unhideWhenUsed="0" w:uiPriority="99" w:semiHidden="0" w:name="Normal (Web)"/>
    <w:lsdException w:uiPriority="0" w:name="HTML Acronym"/>
    <w:lsdException w:uiPriority="0" w:name="HTML Address"/>
    <w:lsdException w:uiPriority="0" w:name="HTML Cite"/>
    <w:lsdException w:uiPriority="0" w:name="HTML Code"/>
    <w:lsdException w:uiPriority="0" w:name="HTML Definition"/>
    <w:lsdException w:uiPriority="0" w:name="HTML Keyboard"/>
    <w:lsdException w:qFormat="1" w:unhideWhenUsed="0" w:uiPriority="0" w:semiHidden="0" w:name="HTML Preformatted"/>
    <w:lsdException w:uiPriority="0" w:name="HTML Sample"/>
    <w:lsdException w:uiPriority="0" w:name="HTML Typewriter"/>
    <w:lsdException w:uiPriority="0" w:name="HTML Variable"/>
    <w:lsdException w:qFormat="1" w:uiPriority="99" w:name="Normal Table"/>
    <w:lsdException w:qFormat="1"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name="Balloon Text"/>
    <w:lsdException w:qFormat="1" w:unhideWhenUsed="0" w:uiPriority="39" w:semiHidden="0" w:name="Table Grid"/>
    <w:lsdException w:uiPriority="0" w:name="Table Theme"/>
    <w:lsdException w:qFormat="1" w:unhideWhenUsed="0" w:uiPriority="99" w:name="Placeholder Text"/>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宋体" w:hAnsi="Times New Roman" w:eastAsia="宋体" w:cs="Times New Roman"/>
      <w:sz w:val="34"/>
      <w:lang w:val="en-US" w:eastAsia="zh-CN" w:bidi="ar-SA"/>
    </w:rPr>
  </w:style>
  <w:style w:type="paragraph" w:styleId="2">
    <w:name w:val="heading 1"/>
    <w:basedOn w:val="1"/>
    <w:next w:val="1"/>
    <w:link w:val="346"/>
    <w:qFormat/>
    <w:uiPriority w:val="99"/>
    <w:pPr>
      <w:keepNext/>
      <w:keepLines/>
      <w:spacing w:before="340" w:after="330" w:line="578" w:lineRule="auto"/>
      <w:outlineLvl w:val="0"/>
    </w:pPr>
    <w:rPr>
      <w:b/>
      <w:bCs/>
      <w:kern w:val="44"/>
      <w:sz w:val="44"/>
      <w:szCs w:val="44"/>
    </w:rPr>
  </w:style>
  <w:style w:type="paragraph" w:styleId="3">
    <w:name w:val="heading 2"/>
    <w:basedOn w:val="1"/>
    <w:next w:val="4"/>
    <w:link w:val="333"/>
    <w:qFormat/>
    <w:uiPriority w:val="0"/>
    <w:pPr>
      <w:keepNext/>
      <w:keepLines/>
      <w:spacing w:before="260" w:after="260" w:line="416" w:lineRule="auto"/>
      <w:outlineLvl w:val="1"/>
    </w:pPr>
    <w:rPr>
      <w:rFonts w:ascii="Arial" w:hAnsi="Arial" w:eastAsia="黑体"/>
      <w:b/>
      <w:bCs/>
      <w:kern w:val="2"/>
      <w:sz w:val="32"/>
      <w:szCs w:val="32"/>
    </w:rPr>
  </w:style>
  <w:style w:type="paragraph" w:styleId="5">
    <w:name w:val="heading 3"/>
    <w:basedOn w:val="1"/>
    <w:next w:val="1"/>
    <w:link w:val="322"/>
    <w:qFormat/>
    <w:uiPriority w:val="0"/>
    <w:pPr>
      <w:keepNext/>
      <w:keepLines/>
      <w:spacing w:before="260" w:after="260" w:line="416" w:lineRule="auto"/>
      <w:outlineLvl w:val="2"/>
    </w:pPr>
    <w:rPr>
      <w:rFonts w:ascii="Times New Roman"/>
      <w:b/>
      <w:bCs/>
      <w:kern w:val="2"/>
      <w:sz w:val="32"/>
      <w:szCs w:val="32"/>
    </w:rPr>
  </w:style>
  <w:style w:type="paragraph" w:styleId="6">
    <w:name w:val="heading 4"/>
    <w:basedOn w:val="1"/>
    <w:next w:val="4"/>
    <w:link w:val="318"/>
    <w:qFormat/>
    <w:uiPriority w:val="0"/>
    <w:pPr>
      <w:keepNext/>
      <w:keepLines/>
      <w:tabs>
        <w:tab w:val="left" w:pos="360"/>
      </w:tabs>
      <w:adjustRightInd w:val="0"/>
      <w:spacing w:before="280" w:after="290" w:line="376" w:lineRule="auto"/>
      <w:textAlignment w:val="baseline"/>
      <w:outlineLvl w:val="3"/>
    </w:pPr>
    <w:rPr>
      <w:rFonts w:ascii="Arial Narrow" w:hAnsi="Arial Narrow"/>
      <w:b/>
      <w:kern w:val="2"/>
      <w:sz w:val="24"/>
    </w:rPr>
  </w:style>
  <w:style w:type="paragraph" w:styleId="7">
    <w:name w:val="heading 5"/>
    <w:basedOn w:val="1"/>
    <w:next w:val="4"/>
    <w:link w:val="307"/>
    <w:qFormat/>
    <w:uiPriority w:val="0"/>
    <w:pPr>
      <w:keepNext/>
      <w:keepLines/>
      <w:spacing w:before="600" w:line="360" w:lineRule="auto"/>
      <w:ind w:firstLine="425"/>
      <w:outlineLvl w:val="4"/>
    </w:pPr>
    <w:rPr>
      <w:rFonts w:ascii="Times New Roman" w:eastAsia="黑体"/>
      <w:b/>
      <w:kern w:val="2"/>
      <w:sz w:val="24"/>
    </w:rPr>
  </w:style>
  <w:style w:type="paragraph" w:styleId="8">
    <w:name w:val="heading 6"/>
    <w:basedOn w:val="1"/>
    <w:next w:val="4"/>
    <w:link w:val="288"/>
    <w:qFormat/>
    <w:uiPriority w:val="0"/>
    <w:pPr>
      <w:keepNext/>
      <w:keepLines/>
      <w:tabs>
        <w:tab w:val="left" w:pos="1152"/>
      </w:tabs>
      <w:adjustRightInd w:val="0"/>
      <w:spacing w:before="240" w:after="64" w:line="320" w:lineRule="auto"/>
      <w:ind w:left="1152" w:hanging="432"/>
      <w:textAlignment w:val="baseline"/>
      <w:outlineLvl w:val="5"/>
    </w:pPr>
    <w:rPr>
      <w:rFonts w:ascii="Arial" w:hAnsi="Arial" w:eastAsia="黑体"/>
      <w:b/>
      <w:kern w:val="2"/>
      <w:sz w:val="24"/>
    </w:rPr>
  </w:style>
  <w:style w:type="paragraph" w:styleId="9">
    <w:name w:val="heading 7"/>
    <w:basedOn w:val="1"/>
    <w:next w:val="4"/>
    <w:link w:val="283"/>
    <w:qFormat/>
    <w:uiPriority w:val="0"/>
    <w:pPr>
      <w:keepNext/>
      <w:keepLines/>
      <w:tabs>
        <w:tab w:val="left" w:pos="1296"/>
      </w:tabs>
      <w:adjustRightInd w:val="0"/>
      <w:spacing w:before="240" w:after="64" w:line="320" w:lineRule="auto"/>
      <w:ind w:left="1296" w:hanging="288"/>
      <w:textAlignment w:val="baseline"/>
      <w:outlineLvl w:val="6"/>
    </w:pPr>
    <w:rPr>
      <w:rFonts w:ascii="Times New Roman"/>
      <w:b/>
      <w:kern w:val="2"/>
      <w:sz w:val="24"/>
    </w:rPr>
  </w:style>
  <w:style w:type="paragraph" w:styleId="10">
    <w:name w:val="heading 8"/>
    <w:basedOn w:val="1"/>
    <w:next w:val="4"/>
    <w:link w:val="310"/>
    <w:qFormat/>
    <w:uiPriority w:val="0"/>
    <w:pPr>
      <w:keepNext/>
      <w:keepLines/>
      <w:tabs>
        <w:tab w:val="left" w:pos="1440"/>
      </w:tabs>
      <w:adjustRightInd w:val="0"/>
      <w:spacing w:before="240" w:after="64" w:line="320" w:lineRule="auto"/>
      <w:ind w:left="1440" w:hanging="432"/>
      <w:textAlignment w:val="baseline"/>
      <w:outlineLvl w:val="7"/>
    </w:pPr>
    <w:rPr>
      <w:rFonts w:ascii="Arial" w:hAnsi="Arial" w:eastAsia="黑体"/>
      <w:kern w:val="2"/>
      <w:sz w:val="24"/>
    </w:rPr>
  </w:style>
  <w:style w:type="paragraph" w:styleId="11">
    <w:name w:val="heading 9"/>
    <w:basedOn w:val="1"/>
    <w:next w:val="1"/>
    <w:link w:val="300"/>
    <w:qFormat/>
    <w:uiPriority w:val="0"/>
    <w:pPr>
      <w:keepNext/>
      <w:keepLines/>
      <w:tabs>
        <w:tab w:val="left" w:pos="1584"/>
        <w:tab w:val="left" w:pos="10440"/>
      </w:tabs>
      <w:autoSpaceDE w:val="0"/>
      <w:autoSpaceDN w:val="0"/>
      <w:adjustRightInd w:val="0"/>
      <w:snapToGrid w:val="0"/>
      <w:spacing w:before="60" w:after="60" w:line="0" w:lineRule="atLeast"/>
      <w:ind w:left="1584" w:hanging="144"/>
      <w:jc w:val="center"/>
      <w:textAlignment w:val="bottom"/>
      <w:outlineLvl w:val="8"/>
    </w:pPr>
    <w:rPr>
      <w:rFonts w:ascii="Arial" w:hAnsi="Arial" w:eastAsia="仿宋_GB2312"/>
      <w:color w:val="000000"/>
      <w:sz w:val="28"/>
    </w:rPr>
  </w:style>
  <w:style w:type="character" w:default="1" w:styleId="61">
    <w:name w:val="Default Paragraph Font"/>
    <w:semiHidden/>
    <w:unhideWhenUsed/>
    <w:qFormat/>
    <w:uiPriority w:val="1"/>
  </w:style>
  <w:style w:type="table" w:default="1" w:styleId="59">
    <w:name w:val="Normal Table"/>
    <w:semiHidden/>
    <w:unhideWhenUsed/>
    <w:qFormat/>
    <w:uiPriority w:val="99"/>
    <w:tblPr>
      <w:tblCellMar>
        <w:top w:w="0" w:type="dxa"/>
        <w:left w:w="108" w:type="dxa"/>
        <w:bottom w:w="0" w:type="dxa"/>
        <w:right w:w="108" w:type="dxa"/>
      </w:tblCellMar>
    </w:tblPr>
  </w:style>
  <w:style w:type="paragraph" w:styleId="4">
    <w:name w:val="Normal Indent"/>
    <w:basedOn w:val="1"/>
    <w:link w:val="326"/>
    <w:qFormat/>
    <w:uiPriority w:val="0"/>
    <w:pPr>
      <w:ind w:firstLine="420"/>
    </w:pPr>
    <w:rPr>
      <w:rFonts w:ascii="Times New Roman"/>
      <w:kern w:val="2"/>
      <w:sz w:val="21"/>
    </w:rPr>
  </w:style>
  <w:style w:type="paragraph" w:styleId="12">
    <w:name w:val="List 3"/>
    <w:basedOn w:val="1"/>
    <w:qFormat/>
    <w:uiPriority w:val="0"/>
    <w:pPr>
      <w:spacing w:beforeLines="50" w:line="360" w:lineRule="exact"/>
      <w:ind w:left="1260" w:hanging="420"/>
    </w:pPr>
    <w:rPr>
      <w:rFonts w:ascii="Times New Roman"/>
      <w:kern w:val="2"/>
      <w:sz w:val="22"/>
    </w:rPr>
  </w:style>
  <w:style w:type="paragraph" w:styleId="13">
    <w:name w:val="toc 7"/>
    <w:basedOn w:val="1"/>
    <w:next w:val="1"/>
    <w:qFormat/>
    <w:uiPriority w:val="0"/>
    <w:pPr>
      <w:ind w:left="2520" w:leftChars="1200"/>
    </w:pPr>
  </w:style>
  <w:style w:type="paragraph" w:styleId="14">
    <w:name w:val="List Number 2"/>
    <w:basedOn w:val="1"/>
    <w:qFormat/>
    <w:uiPriority w:val="0"/>
    <w:pPr>
      <w:numPr>
        <w:ilvl w:val="0"/>
        <w:numId w:val="1"/>
      </w:numPr>
      <w:spacing w:beforeLines="50" w:line="360" w:lineRule="exact"/>
    </w:pPr>
    <w:rPr>
      <w:rFonts w:ascii="Times New Roman"/>
      <w:kern w:val="2"/>
      <w:sz w:val="21"/>
    </w:rPr>
  </w:style>
  <w:style w:type="paragraph" w:styleId="15">
    <w:name w:val="index 8"/>
    <w:basedOn w:val="1"/>
    <w:next w:val="1"/>
    <w:qFormat/>
    <w:uiPriority w:val="0"/>
    <w:pPr>
      <w:ind w:left="2720" w:hanging="340"/>
      <w:jc w:val="left"/>
    </w:pPr>
    <w:rPr>
      <w:rFonts w:asciiTheme="minorHAnsi" w:hAnsiTheme="minorHAnsi"/>
      <w:sz w:val="20"/>
    </w:rPr>
  </w:style>
  <w:style w:type="paragraph" w:styleId="16">
    <w:name w:val="List Number"/>
    <w:basedOn w:val="1"/>
    <w:qFormat/>
    <w:uiPriority w:val="0"/>
    <w:pPr>
      <w:numPr>
        <w:ilvl w:val="0"/>
        <w:numId w:val="2"/>
      </w:numPr>
      <w:spacing w:beforeLines="50" w:line="360" w:lineRule="exact"/>
    </w:pPr>
    <w:rPr>
      <w:rFonts w:ascii="Times New Roman"/>
      <w:kern w:val="2"/>
      <w:sz w:val="21"/>
      <w:szCs w:val="24"/>
    </w:rPr>
  </w:style>
  <w:style w:type="paragraph" w:styleId="17">
    <w:name w:val="caption"/>
    <w:basedOn w:val="1"/>
    <w:next w:val="1"/>
    <w:qFormat/>
    <w:uiPriority w:val="0"/>
    <w:pPr>
      <w:jc w:val="center"/>
    </w:pPr>
    <w:rPr>
      <w:sz w:val="48"/>
    </w:rPr>
  </w:style>
  <w:style w:type="paragraph" w:styleId="18">
    <w:name w:val="index 5"/>
    <w:basedOn w:val="1"/>
    <w:next w:val="1"/>
    <w:qFormat/>
    <w:uiPriority w:val="0"/>
    <w:pPr>
      <w:ind w:left="1700" w:hanging="340"/>
      <w:jc w:val="left"/>
    </w:pPr>
    <w:rPr>
      <w:rFonts w:asciiTheme="minorHAnsi" w:hAnsiTheme="minorHAnsi"/>
      <w:sz w:val="20"/>
    </w:rPr>
  </w:style>
  <w:style w:type="paragraph" w:styleId="19">
    <w:name w:val="Document Map"/>
    <w:basedOn w:val="1"/>
    <w:link w:val="309"/>
    <w:semiHidden/>
    <w:qFormat/>
    <w:uiPriority w:val="0"/>
    <w:pPr>
      <w:shd w:val="clear" w:color="auto" w:fill="000080"/>
    </w:pPr>
    <w:rPr>
      <w:rFonts w:ascii="Times New Roman"/>
      <w:kern w:val="2"/>
      <w:sz w:val="21"/>
    </w:rPr>
  </w:style>
  <w:style w:type="paragraph" w:styleId="20">
    <w:name w:val="annotation text"/>
    <w:basedOn w:val="1"/>
    <w:link w:val="315"/>
    <w:qFormat/>
    <w:uiPriority w:val="99"/>
    <w:pPr>
      <w:adjustRightInd w:val="0"/>
      <w:spacing w:line="312" w:lineRule="atLeast"/>
      <w:textAlignment w:val="baseline"/>
    </w:pPr>
    <w:rPr>
      <w:sz w:val="21"/>
    </w:rPr>
  </w:style>
  <w:style w:type="paragraph" w:styleId="21">
    <w:name w:val="index 6"/>
    <w:basedOn w:val="1"/>
    <w:next w:val="1"/>
    <w:qFormat/>
    <w:uiPriority w:val="0"/>
    <w:pPr>
      <w:ind w:left="2040" w:hanging="340"/>
      <w:jc w:val="left"/>
    </w:pPr>
    <w:rPr>
      <w:rFonts w:asciiTheme="minorHAnsi" w:hAnsiTheme="minorHAnsi"/>
      <w:sz w:val="20"/>
    </w:rPr>
  </w:style>
  <w:style w:type="paragraph" w:styleId="22">
    <w:name w:val="Salutation"/>
    <w:basedOn w:val="1"/>
    <w:next w:val="1"/>
    <w:link w:val="347"/>
    <w:qFormat/>
    <w:uiPriority w:val="0"/>
    <w:pPr>
      <w:spacing w:beforeLines="50" w:line="360" w:lineRule="exact"/>
    </w:pPr>
    <w:rPr>
      <w:rFonts w:ascii="Times New Roman"/>
      <w:kern w:val="2"/>
      <w:sz w:val="21"/>
      <w:szCs w:val="21"/>
    </w:rPr>
  </w:style>
  <w:style w:type="paragraph" w:styleId="23">
    <w:name w:val="Body Text 3"/>
    <w:basedOn w:val="1"/>
    <w:link w:val="275"/>
    <w:qFormat/>
    <w:uiPriority w:val="0"/>
    <w:pPr>
      <w:jc w:val="center"/>
    </w:pPr>
    <w:rPr>
      <w:rFonts w:ascii="仿宋_GB2312" w:eastAsia="仿宋_GB2312"/>
      <w:kern w:val="2"/>
      <w:sz w:val="21"/>
    </w:rPr>
  </w:style>
  <w:style w:type="paragraph" w:styleId="24">
    <w:name w:val="Body Text"/>
    <w:basedOn w:val="1"/>
    <w:link w:val="273"/>
    <w:qFormat/>
    <w:uiPriority w:val="0"/>
    <w:pPr>
      <w:adjustRightInd w:val="0"/>
      <w:spacing w:after="120" w:line="312" w:lineRule="atLeast"/>
      <w:textAlignment w:val="baseline"/>
    </w:pPr>
    <w:rPr>
      <w:sz w:val="21"/>
    </w:rPr>
  </w:style>
  <w:style w:type="paragraph" w:styleId="25">
    <w:name w:val="Body Text Indent"/>
    <w:basedOn w:val="1"/>
    <w:link w:val="291"/>
    <w:qFormat/>
    <w:uiPriority w:val="0"/>
    <w:pPr>
      <w:spacing w:after="120"/>
      <w:ind w:left="420"/>
    </w:pPr>
    <w:rPr>
      <w:rFonts w:ascii="Times New Roman"/>
      <w:kern w:val="2"/>
      <w:sz w:val="21"/>
    </w:rPr>
  </w:style>
  <w:style w:type="paragraph" w:styleId="26">
    <w:name w:val="List 2"/>
    <w:basedOn w:val="1"/>
    <w:qFormat/>
    <w:uiPriority w:val="0"/>
    <w:pPr>
      <w:ind w:left="100" w:leftChars="200" w:hanging="200" w:hangingChars="200"/>
    </w:pPr>
    <w:rPr>
      <w:szCs w:val="24"/>
    </w:rPr>
  </w:style>
  <w:style w:type="paragraph" w:styleId="27">
    <w:name w:val="Block Text"/>
    <w:basedOn w:val="1"/>
    <w:qFormat/>
    <w:uiPriority w:val="0"/>
    <w:pPr>
      <w:spacing w:after="240" w:line="360" w:lineRule="auto"/>
      <w:ind w:left="1259" w:right="1259" w:firstLine="482"/>
    </w:pPr>
    <w:rPr>
      <w:rFonts w:ascii="Arial Narrow" w:hAnsi="Arial Narrow"/>
      <w:sz w:val="24"/>
    </w:rPr>
  </w:style>
  <w:style w:type="paragraph" w:styleId="28">
    <w:name w:val="index 4"/>
    <w:basedOn w:val="1"/>
    <w:next w:val="1"/>
    <w:qFormat/>
    <w:uiPriority w:val="0"/>
    <w:pPr>
      <w:ind w:left="1360" w:hanging="340"/>
      <w:jc w:val="left"/>
    </w:pPr>
    <w:rPr>
      <w:rFonts w:asciiTheme="minorHAnsi" w:hAnsiTheme="minorHAnsi"/>
      <w:sz w:val="20"/>
    </w:rPr>
  </w:style>
  <w:style w:type="paragraph" w:styleId="29">
    <w:name w:val="toc 5"/>
    <w:basedOn w:val="1"/>
    <w:next w:val="1"/>
    <w:qFormat/>
    <w:uiPriority w:val="0"/>
    <w:pPr>
      <w:ind w:left="1680" w:leftChars="800"/>
    </w:pPr>
  </w:style>
  <w:style w:type="paragraph" w:styleId="30">
    <w:name w:val="toc 3"/>
    <w:basedOn w:val="1"/>
    <w:next w:val="1"/>
    <w:qFormat/>
    <w:uiPriority w:val="39"/>
    <w:pPr>
      <w:ind w:left="840" w:leftChars="400"/>
    </w:pPr>
    <w:rPr>
      <w:sz w:val="21"/>
    </w:rPr>
  </w:style>
  <w:style w:type="paragraph" w:styleId="31">
    <w:name w:val="Plain Text"/>
    <w:basedOn w:val="1"/>
    <w:link w:val="311"/>
    <w:qFormat/>
    <w:uiPriority w:val="0"/>
    <w:rPr>
      <w:rFonts w:hAnsi="Courier New" w:cs="Courier New"/>
      <w:kern w:val="2"/>
      <w:sz w:val="21"/>
      <w:szCs w:val="21"/>
    </w:rPr>
  </w:style>
  <w:style w:type="paragraph" w:styleId="32">
    <w:name w:val="toc 8"/>
    <w:basedOn w:val="1"/>
    <w:next w:val="1"/>
    <w:qFormat/>
    <w:uiPriority w:val="0"/>
    <w:pPr>
      <w:ind w:left="2940" w:leftChars="1400"/>
    </w:pPr>
  </w:style>
  <w:style w:type="paragraph" w:styleId="33">
    <w:name w:val="index 3"/>
    <w:basedOn w:val="1"/>
    <w:next w:val="1"/>
    <w:qFormat/>
    <w:uiPriority w:val="0"/>
    <w:pPr>
      <w:ind w:left="1020" w:hanging="340"/>
      <w:jc w:val="left"/>
    </w:pPr>
    <w:rPr>
      <w:rFonts w:asciiTheme="minorHAnsi" w:hAnsiTheme="minorHAnsi"/>
      <w:sz w:val="20"/>
    </w:rPr>
  </w:style>
  <w:style w:type="paragraph" w:styleId="34">
    <w:name w:val="Date"/>
    <w:basedOn w:val="1"/>
    <w:next w:val="1"/>
    <w:link w:val="313"/>
    <w:qFormat/>
    <w:uiPriority w:val="0"/>
    <w:rPr>
      <w:rFonts w:ascii="Times New Roman" w:eastAsia="黑体"/>
      <w:b/>
      <w:spacing w:val="2"/>
      <w:kern w:val="2"/>
      <w:sz w:val="44"/>
    </w:rPr>
  </w:style>
  <w:style w:type="paragraph" w:styleId="35">
    <w:name w:val="Body Text Indent 2"/>
    <w:basedOn w:val="1"/>
    <w:link w:val="340"/>
    <w:qFormat/>
    <w:uiPriority w:val="0"/>
    <w:pPr>
      <w:spacing w:line="360" w:lineRule="auto"/>
      <w:ind w:firstLine="480"/>
    </w:pPr>
    <w:rPr>
      <w:rFonts w:ascii="Arial" w:hAnsi="Arial"/>
      <w:kern w:val="2"/>
      <w:sz w:val="24"/>
    </w:rPr>
  </w:style>
  <w:style w:type="paragraph" w:styleId="36">
    <w:name w:val="Balloon Text"/>
    <w:basedOn w:val="1"/>
    <w:link w:val="304"/>
    <w:semiHidden/>
    <w:qFormat/>
    <w:uiPriority w:val="0"/>
    <w:rPr>
      <w:rFonts w:ascii="Times New Roman"/>
      <w:kern w:val="2"/>
      <w:sz w:val="18"/>
      <w:szCs w:val="18"/>
    </w:rPr>
  </w:style>
  <w:style w:type="paragraph" w:styleId="37">
    <w:name w:val="footer"/>
    <w:basedOn w:val="1"/>
    <w:link w:val="278"/>
    <w:qFormat/>
    <w:uiPriority w:val="99"/>
    <w:pPr>
      <w:tabs>
        <w:tab w:val="center" w:pos="4153"/>
        <w:tab w:val="right" w:pos="8306"/>
      </w:tabs>
      <w:snapToGrid w:val="0"/>
      <w:jc w:val="left"/>
    </w:pPr>
    <w:rPr>
      <w:rFonts w:ascii="Times New Roman"/>
      <w:kern w:val="2"/>
      <w:sz w:val="18"/>
    </w:rPr>
  </w:style>
  <w:style w:type="paragraph" w:styleId="38">
    <w:name w:val="header"/>
    <w:basedOn w:val="1"/>
    <w:link w:val="330"/>
    <w:qFormat/>
    <w:uiPriority w:val="99"/>
    <w:pPr>
      <w:pBdr>
        <w:bottom w:val="single" w:color="auto" w:sz="6" w:space="1"/>
      </w:pBdr>
      <w:tabs>
        <w:tab w:val="center" w:pos="4153"/>
        <w:tab w:val="right" w:pos="8306"/>
      </w:tabs>
      <w:snapToGrid w:val="0"/>
      <w:jc w:val="center"/>
    </w:pPr>
    <w:rPr>
      <w:rFonts w:ascii="Times New Roman"/>
      <w:kern w:val="2"/>
      <w:sz w:val="18"/>
    </w:rPr>
  </w:style>
  <w:style w:type="paragraph" w:styleId="39">
    <w:name w:val="Signature"/>
    <w:basedOn w:val="1"/>
    <w:link w:val="281"/>
    <w:qFormat/>
    <w:uiPriority w:val="0"/>
    <w:pPr>
      <w:ind w:left="100" w:leftChars="2100"/>
    </w:pPr>
    <w:rPr>
      <w:rFonts w:ascii="Times New Roman"/>
      <w:kern w:val="2"/>
      <w:sz w:val="21"/>
      <w:szCs w:val="24"/>
    </w:rPr>
  </w:style>
  <w:style w:type="paragraph" w:styleId="40">
    <w:name w:val="toc 1"/>
    <w:basedOn w:val="1"/>
    <w:next w:val="1"/>
    <w:qFormat/>
    <w:uiPriority w:val="39"/>
    <w:pPr>
      <w:tabs>
        <w:tab w:val="right" w:leader="dot" w:pos="8500"/>
      </w:tabs>
      <w:spacing w:beforeLines="50" w:line="360" w:lineRule="auto"/>
      <w:ind w:firstLine="360" w:firstLineChars="150"/>
    </w:pPr>
    <w:rPr>
      <w:rFonts w:ascii="Arial Narrow" w:hAnsi="Arial Narrow" w:eastAsia="黑体"/>
      <w:b/>
      <w:sz w:val="24"/>
    </w:rPr>
  </w:style>
  <w:style w:type="paragraph" w:styleId="41">
    <w:name w:val="toc 4"/>
    <w:basedOn w:val="1"/>
    <w:next w:val="1"/>
    <w:semiHidden/>
    <w:qFormat/>
    <w:uiPriority w:val="0"/>
    <w:pPr>
      <w:ind w:left="1260" w:leftChars="600"/>
    </w:pPr>
  </w:style>
  <w:style w:type="paragraph" w:styleId="42">
    <w:name w:val="index heading"/>
    <w:basedOn w:val="1"/>
    <w:next w:val="43"/>
    <w:qFormat/>
    <w:uiPriority w:val="0"/>
    <w:pPr>
      <w:jc w:val="left"/>
    </w:pPr>
    <w:rPr>
      <w:rFonts w:asciiTheme="minorHAnsi" w:hAnsiTheme="minorHAnsi"/>
      <w:sz w:val="20"/>
    </w:rPr>
  </w:style>
  <w:style w:type="paragraph" w:styleId="43">
    <w:name w:val="index 1"/>
    <w:basedOn w:val="1"/>
    <w:next w:val="1"/>
    <w:qFormat/>
    <w:uiPriority w:val="99"/>
    <w:pPr>
      <w:ind w:left="340" w:hanging="340"/>
      <w:jc w:val="left"/>
    </w:pPr>
    <w:rPr>
      <w:rFonts w:asciiTheme="minorHAnsi" w:hAnsiTheme="minorHAnsi"/>
      <w:sz w:val="20"/>
    </w:rPr>
  </w:style>
  <w:style w:type="paragraph" w:styleId="44">
    <w:name w:val="List"/>
    <w:basedOn w:val="1"/>
    <w:qFormat/>
    <w:uiPriority w:val="0"/>
    <w:pPr>
      <w:ind w:left="420" w:hanging="420"/>
    </w:pPr>
  </w:style>
  <w:style w:type="paragraph" w:styleId="45">
    <w:name w:val="toc 6"/>
    <w:basedOn w:val="1"/>
    <w:next w:val="1"/>
    <w:qFormat/>
    <w:uiPriority w:val="0"/>
    <w:pPr>
      <w:ind w:left="2100" w:leftChars="1000"/>
    </w:pPr>
  </w:style>
  <w:style w:type="paragraph" w:styleId="46">
    <w:name w:val="Body Text Indent 3"/>
    <w:basedOn w:val="1"/>
    <w:link w:val="341"/>
    <w:qFormat/>
    <w:uiPriority w:val="0"/>
    <w:pPr>
      <w:adjustRightInd w:val="0"/>
      <w:spacing w:line="360" w:lineRule="auto"/>
      <w:ind w:firstLine="435"/>
      <w:textAlignment w:val="baseline"/>
    </w:pPr>
    <w:rPr>
      <w:rFonts w:ascii="Times New Roman" w:eastAsia="楷体_GB2312"/>
      <w:sz w:val="21"/>
    </w:rPr>
  </w:style>
  <w:style w:type="paragraph" w:styleId="47">
    <w:name w:val="index 7"/>
    <w:basedOn w:val="1"/>
    <w:next w:val="1"/>
    <w:qFormat/>
    <w:uiPriority w:val="0"/>
    <w:pPr>
      <w:ind w:left="2380" w:hanging="340"/>
      <w:jc w:val="left"/>
    </w:pPr>
    <w:rPr>
      <w:rFonts w:asciiTheme="minorHAnsi" w:hAnsiTheme="minorHAnsi"/>
      <w:sz w:val="20"/>
    </w:rPr>
  </w:style>
  <w:style w:type="paragraph" w:styleId="48">
    <w:name w:val="index 9"/>
    <w:basedOn w:val="1"/>
    <w:next w:val="1"/>
    <w:qFormat/>
    <w:uiPriority w:val="0"/>
    <w:pPr>
      <w:ind w:left="3060" w:hanging="340"/>
      <w:jc w:val="left"/>
    </w:pPr>
    <w:rPr>
      <w:rFonts w:asciiTheme="minorHAnsi" w:hAnsiTheme="minorHAnsi"/>
      <w:sz w:val="20"/>
    </w:rPr>
  </w:style>
  <w:style w:type="paragraph" w:styleId="49">
    <w:name w:val="toc 2"/>
    <w:basedOn w:val="1"/>
    <w:next w:val="1"/>
    <w:qFormat/>
    <w:uiPriority w:val="39"/>
    <w:pPr>
      <w:tabs>
        <w:tab w:val="left" w:pos="1358"/>
        <w:tab w:val="right" w:leader="dot" w:pos="8500"/>
      </w:tabs>
      <w:spacing w:line="432" w:lineRule="auto"/>
      <w:ind w:left="680" w:leftChars="200"/>
    </w:pPr>
    <w:rPr>
      <w:rFonts w:ascii="Arial Narrow" w:hAnsi="Arial Narrow"/>
      <w:sz w:val="21"/>
    </w:rPr>
  </w:style>
  <w:style w:type="paragraph" w:styleId="50">
    <w:name w:val="toc 9"/>
    <w:basedOn w:val="1"/>
    <w:next w:val="1"/>
    <w:qFormat/>
    <w:uiPriority w:val="0"/>
    <w:pPr>
      <w:ind w:left="3360" w:leftChars="1600"/>
    </w:pPr>
  </w:style>
  <w:style w:type="paragraph" w:styleId="51">
    <w:name w:val="Body Text 2"/>
    <w:basedOn w:val="1"/>
    <w:link w:val="328"/>
    <w:qFormat/>
    <w:uiPriority w:val="0"/>
    <w:pPr>
      <w:spacing w:before="240" w:line="360" w:lineRule="auto"/>
      <w:jc w:val="center"/>
      <w:outlineLvl w:val="0"/>
    </w:pPr>
    <w:rPr>
      <w:rFonts w:ascii="Times New Roman" w:eastAsia="仿宋_GB2312"/>
      <w:b/>
      <w:kern w:val="2"/>
      <w:sz w:val="32"/>
    </w:rPr>
  </w:style>
  <w:style w:type="paragraph" w:styleId="52">
    <w:name w:val="HTML Preformatted"/>
    <w:basedOn w:val="1"/>
    <w:link w:val="286"/>
    <w:qFormat/>
    <w:uiPriority w:val="0"/>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djustRightInd w:val="0"/>
      <w:spacing w:line="312" w:lineRule="atLeast"/>
      <w:jc w:val="left"/>
      <w:textAlignment w:val="baseline"/>
    </w:pPr>
    <w:rPr>
      <w:rFonts w:hAnsi="宋体" w:cs="宋体"/>
      <w:color w:val="333399"/>
      <w:sz w:val="24"/>
    </w:rPr>
  </w:style>
  <w:style w:type="paragraph" w:styleId="53">
    <w:name w:val="Normal (Web)"/>
    <w:basedOn w:val="1"/>
    <w:link w:val="297"/>
    <w:qFormat/>
    <w:uiPriority w:val="99"/>
    <w:pPr>
      <w:widowControl/>
      <w:adjustRightInd w:val="0"/>
      <w:spacing w:before="100" w:beforeAutospacing="1" w:after="100" w:afterAutospacing="1" w:line="360" w:lineRule="atLeast"/>
      <w:jc w:val="left"/>
      <w:textAlignment w:val="baseline"/>
    </w:pPr>
    <w:rPr>
      <w:rFonts w:hAnsi="宋体" w:cs="宋体"/>
      <w:sz w:val="24"/>
      <w:szCs w:val="24"/>
    </w:rPr>
  </w:style>
  <w:style w:type="paragraph" w:styleId="54">
    <w:name w:val="index 2"/>
    <w:basedOn w:val="1"/>
    <w:next w:val="1"/>
    <w:qFormat/>
    <w:uiPriority w:val="0"/>
    <w:pPr>
      <w:ind w:left="680" w:hanging="340"/>
      <w:jc w:val="left"/>
    </w:pPr>
    <w:rPr>
      <w:rFonts w:asciiTheme="minorHAnsi" w:hAnsiTheme="minorHAnsi"/>
      <w:sz w:val="20"/>
    </w:rPr>
  </w:style>
  <w:style w:type="paragraph" w:styleId="55">
    <w:name w:val="Title"/>
    <w:basedOn w:val="1"/>
    <w:link w:val="321"/>
    <w:qFormat/>
    <w:uiPriority w:val="0"/>
    <w:pPr>
      <w:spacing w:before="240" w:after="60"/>
      <w:jc w:val="center"/>
      <w:outlineLvl w:val="0"/>
    </w:pPr>
    <w:rPr>
      <w:rFonts w:ascii="Arial" w:hAnsi="Arial" w:cs="Arial"/>
      <w:b/>
      <w:bCs/>
      <w:kern w:val="2"/>
      <w:sz w:val="32"/>
      <w:szCs w:val="32"/>
    </w:rPr>
  </w:style>
  <w:style w:type="paragraph" w:styleId="56">
    <w:name w:val="annotation subject"/>
    <w:basedOn w:val="20"/>
    <w:next w:val="20"/>
    <w:link w:val="306"/>
    <w:qFormat/>
    <w:uiPriority w:val="0"/>
    <w:pPr>
      <w:adjustRightInd/>
      <w:spacing w:line="240" w:lineRule="auto"/>
      <w:jc w:val="left"/>
      <w:textAlignment w:val="auto"/>
    </w:pPr>
    <w:rPr>
      <w:b/>
      <w:bCs/>
      <w:kern w:val="2"/>
    </w:rPr>
  </w:style>
  <w:style w:type="paragraph" w:styleId="57">
    <w:name w:val="Body Text First Indent"/>
    <w:basedOn w:val="24"/>
    <w:link w:val="303"/>
    <w:qFormat/>
    <w:uiPriority w:val="0"/>
    <w:pPr>
      <w:adjustRightInd/>
      <w:spacing w:line="240" w:lineRule="auto"/>
      <w:ind w:firstLine="420" w:firstLineChars="100"/>
      <w:textAlignment w:val="auto"/>
    </w:pPr>
    <w:rPr>
      <w:kern w:val="2"/>
    </w:rPr>
  </w:style>
  <w:style w:type="paragraph" w:styleId="58">
    <w:name w:val="Body Text First Indent 2"/>
    <w:basedOn w:val="25"/>
    <w:link w:val="348"/>
    <w:qFormat/>
    <w:uiPriority w:val="0"/>
    <w:pPr>
      <w:ind w:firstLine="210"/>
    </w:pPr>
  </w:style>
  <w:style w:type="table" w:styleId="60">
    <w:name w:val="Table Grid"/>
    <w:basedOn w:val="59"/>
    <w:qFormat/>
    <w:uiPriority w:val="3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62">
    <w:name w:val="Strong"/>
    <w:qFormat/>
    <w:uiPriority w:val="22"/>
    <w:rPr>
      <w:b/>
      <w:bCs/>
    </w:rPr>
  </w:style>
  <w:style w:type="character" w:styleId="63">
    <w:name w:val="page number"/>
    <w:basedOn w:val="61"/>
    <w:qFormat/>
    <w:uiPriority w:val="0"/>
  </w:style>
  <w:style w:type="character" w:styleId="64">
    <w:name w:val="FollowedHyperlink"/>
    <w:qFormat/>
    <w:uiPriority w:val="0"/>
    <w:rPr>
      <w:color w:val="800080"/>
      <w:u w:val="single"/>
    </w:rPr>
  </w:style>
  <w:style w:type="character" w:styleId="65">
    <w:name w:val="Hyperlink"/>
    <w:qFormat/>
    <w:uiPriority w:val="0"/>
    <w:rPr>
      <w:rFonts w:ascii="Arial Narrow" w:hAnsi="Arial Narrow" w:eastAsia="宋体"/>
      <w:color w:val="000000"/>
      <w:szCs w:val="21"/>
      <w:u w:val="single"/>
    </w:rPr>
  </w:style>
  <w:style w:type="character" w:styleId="66">
    <w:name w:val="annotation reference"/>
    <w:qFormat/>
    <w:uiPriority w:val="0"/>
    <w:rPr>
      <w:sz w:val="21"/>
      <w:szCs w:val="21"/>
    </w:rPr>
  </w:style>
  <w:style w:type="paragraph" w:customStyle="1" w:styleId="67">
    <w:name w:val="font6"/>
    <w:basedOn w:val="1"/>
    <w:qFormat/>
    <w:uiPriority w:val="0"/>
    <w:pPr>
      <w:widowControl/>
      <w:adjustRightInd w:val="0"/>
      <w:spacing w:before="100" w:beforeAutospacing="1" w:after="100" w:afterAutospacing="1" w:line="360" w:lineRule="atLeast"/>
      <w:jc w:val="left"/>
      <w:textAlignment w:val="baseline"/>
    </w:pPr>
    <w:rPr>
      <w:rFonts w:hint="eastAsia" w:hAnsi="宋体" w:cs="楷体_GB2312"/>
      <w:sz w:val="22"/>
      <w:szCs w:val="22"/>
    </w:rPr>
  </w:style>
  <w:style w:type="paragraph" w:customStyle="1" w:styleId="68">
    <w:name w:val="xl58"/>
    <w:basedOn w:val="1"/>
    <w:qFormat/>
    <w:uiPriority w:val="0"/>
    <w:pPr>
      <w:widowControl/>
      <w:pBdr>
        <w:top w:val="single" w:color="auto" w:sz="4" w:space="0"/>
        <w:left w:val="single" w:color="auto" w:sz="4" w:space="0"/>
        <w:bottom w:val="single" w:color="auto" w:sz="4" w:space="0"/>
        <w:right w:val="single" w:color="auto" w:sz="4" w:space="0"/>
      </w:pBdr>
      <w:shd w:val="clear" w:color="auto" w:fill="FFFF00"/>
      <w:spacing w:before="100" w:beforeAutospacing="1" w:after="100" w:afterAutospacing="1"/>
      <w:jc w:val="center"/>
    </w:pPr>
    <w:rPr>
      <w:rFonts w:ascii="Arial Unicode MS" w:hAnsi="Arial Unicode MS" w:eastAsia="Arial Unicode MS" w:cs="Arial Unicode MS"/>
      <w:sz w:val="18"/>
      <w:szCs w:val="18"/>
    </w:rPr>
  </w:style>
  <w:style w:type="paragraph" w:customStyle="1" w:styleId="69">
    <w:name w:val="style12"/>
    <w:basedOn w:val="1"/>
    <w:qFormat/>
    <w:uiPriority w:val="0"/>
    <w:pPr>
      <w:widowControl/>
      <w:spacing w:before="100" w:beforeAutospacing="1" w:after="100" w:afterAutospacing="1"/>
      <w:jc w:val="left"/>
    </w:pPr>
    <w:rPr>
      <w:rFonts w:ascii="Arial Unicode MS" w:hAnsi="Arial Unicode MS" w:eastAsia="Arial Unicode MS" w:cs="Arial Unicode MS"/>
      <w:color w:val="FF0000"/>
      <w:sz w:val="24"/>
      <w:szCs w:val="24"/>
    </w:rPr>
  </w:style>
  <w:style w:type="paragraph" w:customStyle="1" w:styleId="70">
    <w:name w:val="unnamed1"/>
    <w:basedOn w:val="1"/>
    <w:qFormat/>
    <w:uiPriority w:val="0"/>
    <w:pPr>
      <w:widowControl/>
      <w:spacing w:before="100" w:beforeAutospacing="1" w:after="100" w:afterAutospacing="1"/>
      <w:jc w:val="left"/>
    </w:pPr>
    <w:rPr>
      <w:rFonts w:hAnsi="宋体" w:cs="宋体"/>
      <w:sz w:val="24"/>
      <w:szCs w:val="24"/>
    </w:rPr>
  </w:style>
  <w:style w:type="paragraph" w:customStyle="1" w:styleId="71">
    <w:name w:val="xl85"/>
    <w:basedOn w:val="1"/>
    <w:qFormat/>
    <w:uiPriority w:val="0"/>
    <w:pPr>
      <w:widowControl/>
      <w:pBdr>
        <w:top w:val="single" w:color="auto" w:sz="8" w:space="0"/>
        <w:left w:val="single" w:color="auto" w:sz="8" w:space="0"/>
      </w:pBdr>
      <w:shd w:val="clear" w:color="auto" w:fill="FFFFFF"/>
      <w:spacing w:before="100" w:beforeAutospacing="1" w:after="100" w:afterAutospacing="1"/>
      <w:jc w:val="center"/>
    </w:pPr>
    <w:rPr>
      <w:rFonts w:hAnsi="宋体" w:cs="宋体"/>
      <w:sz w:val="20"/>
    </w:rPr>
  </w:style>
  <w:style w:type="paragraph" w:customStyle="1" w:styleId="72">
    <w:name w:val="xl69"/>
    <w:basedOn w:val="1"/>
    <w:qFormat/>
    <w:uiPriority w:val="0"/>
    <w:pPr>
      <w:widowControl/>
      <w:pBdr>
        <w:top w:val="single" w:color="auto" w:sz="4" w:space="0"/>
        <w:left w:val="single" w:color="auto" w:sz="4" w:space="0"/>
        <w:bottom w:val="single" w:color="auto" w:sz="4" w:space="0"/>
        <w:right w:val="single" w:color="auto" w:sz="4" w:space="0"/>
      </w:pBdr>
      <w:shd w:val="clear" w:color="auto" w:fill="FFFFFF"/>
      <w:spacing w:before="100" w:beforeAutospacing="1" w:after="100" w:afterAutospacing="1"/>
      <w:jc w:val="left"/>
    </w:pPr>
    <w:rPr>
      <w:rFonts w:ascii="Arial Narrow" w:hAnsi="Arial Narrow" w:cs="宋体"/>
      <w:sz w:val="20"/>
    </w:rPr>
  </w:style>
  <w:style w:type="paragraph" w:customStyle="1" w:styleId="73">
    <w:name w:val="MM Topic 2"/>
    <w:basedOn w:val="3"/>
    <w:qFormat/>
    <w:uiPriority w:val="0"/>
    <w:pPr>
      <w:spacing w:before="60" w:after="60" w:line="240" w:lineRule="auto"/>
      <w:ind w:firstLine="221" w:firstLineChars="221"/>
      <w:jc w:val="center"/>
    </w:pPr>
    <w:rPr>
      <w:rFonts w:ascii="仿宋_GB2312" w:eastAsia="仿宋_GB2312"/>
      <w:bCs w:val="0"/>
      <w:sz w:val="24"/>
      <w:szCs w:val="24"/>
    </w:rPr>
  </w:style>
  <w:style w:type="paragraph" w:customStyle="1" w:styleId="74">
    <w:name w:val="正文1 Char Char Char"/>
    <w:basedOn w:val="1"/>
    <w:qFormat/>
    <w:uiPriority w:val="0"/>
    <w:pPr>
      <w:tabs>
        <w:tab w:val="left" w:pos="5327"/>
        <w:tab w:val="left" w:pos="6326"/>
        <w:tab w:val="left" w:pos="7230"/>
        <w:tab w:val="left" w:pos="9301"/>
      </w:tabs>
      <w:autoSpaceDE w:val="0"/>
      <w:autoSpaceDN w:val="0"/>
      <w:adjustRightInd w:val="0"/>
      <w:snapToGrid w:val="0"/>
      <w:spacing w:line="600" w:lineRule="exact"/>
      <w:ind w:firstLine="200" w:firstLineChars="200"/>
      <w:jc w:val="left"/>
    </w:pPr>
    <w:rPr>
      <w:rFonts w:ascii="Arial Narrow" w:hAnsi="Arial Narrow" w:eastAsia="仿宋_GB2312"/>
      <w:color w:val="000000"/>
      <w:kern w:val="10"/>
      <w:sz w:val="28"/>
      <w:szCs w:val="28"/>
    </w:rPr>
  </w:style>
  <w:style w:type="paragraph" w:customStyle="1" w:styleId="75">
    <w:name w:val="数据来源"/>
    <w:basedOn w:val="1"/>
    <w:next w:val="1"/>
    <w:link w:val="295"/>
    <w:qFormat/>
    <w:uiPriority w:val="0"/>
    <w:pPr>
      <w:tabs>
        <w:tab w:val="left" w:pos="1440"/>
      </w:tabs>
      <w:ind w:left="840" w:leftChars="400"/>
    </w:pPr>
    <w:rPr>
      <w:rFonts w:hAnsi="宋体"/>
      <w:sz w:val="18"/>
      <w:szCs w:val="24"/>
    </w:rPr>
  </w:style>
  <w:style w:type="paragraph" w:customStyle="1" w:styleId="76">
    <w:name w:val="日期1"/>
    <w:basedOn w:val="1"/>
    <w:next w:val="1"/>
    <w:qFormat/>
    <w:uiPriority w:val="0"/>
    <w:pPr>
      <w:adjustRightInd w:val="0"/>
      <w:textAlignment w:val="baseline"/>
    </w:pPr>
    <w:rPr>
      <w:sz w:val="24"/>
    </w:rPr>
  </w:style>
  <w:style w:type="paragraph" w:customStyle="1" w:styleId="77">
    <w:name w:val="xl48"/>
    <w:basedOn w:val="1"/>
    <w:qFormat/>
    <w:uiPriority w:val="0"/>
    <w:pPr>
      <w:widowControl/>
      <w:pBdr>
        <w:top w:val="single" w:color="auto" w:sz="4" w:space="0"/>
        <w:left w:val="single" w:color="auto" w:sz="4" w:space="0"/>
        <w:bottom w:val="single" w:color="auto" w:sz="4" w:space="0"/>
        <w:right w:val="single" w:color="auto" w:sz="4" w:space="0"/>
      </w:pBdr>
      <w:adjustRightInd w:val="0"/>
      <w:spacing w:before="100" w:beforeAutospacing="1" w:after="100" w:afterAutospacing="1" w:line="360" w:lineRule="atLeast"/>
      <w:jc w:val="left"/>
      <w:textAlignment w:val="baseline"/>
    </w:pPr>
    <w:rPr>
      <w:rFonts w:ascii="Arial Narrow" w:hAnsi="Arial Narrow" w:eastAsia="Arial Unicode MS" w:cs="楷体_GB2312"/>
      <w:sz w:val="12"/>
      <w:szCs w:val="12"/>
    </w:rPr>
  </w:style>
  <w:style w:type="paragraph" w:customStyle="1" w:styleId="78">
    <w:name w:val="xl51"/>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hint="eastAsia" w:ascii="仿宋_GB2312" w:hAnsi="Arial Unicode MS" w:eastAsia="仿宋_GB2312" w:cs="Arial Unicode MS"/>
      <w:sz w:val="18"/>
      <w:szCs w:val="18"/>
    </w:rPr>
  </w:style>
  <w:style w:type="paragraph" w:customStyle="1" w:styleId="79">
    <w:name w:val="正文1"/>
    <w:basedOn w:val="1"/>
    <w:qFormat/>
    <w:uiPriority w:val="0"/>
    <w:pPr>
      <w:adjustRightInd w:val="0"/>
      <w:spacing w:after="180" w:line="360" w:lineRule="atLeast"/>
      <w:ind w:left="567" w:hanging="397"/>
      <w:textAlignment w:val="baseline"/>
    </w:pPr>
    <w:rPr>
      <w:rFonts w:ascii="昆仑楷体" w:eastAsia="昆仑楷体"/>
      <w:sz w:val="32"/>
    </w:rPr>
  </w:style>
  <w:style w:type="paragraph" w:customStyle="1" w:styleId="80">
    <w:name w:val="xl76"/>
    <w:basedOn w:val="1"/>
    <w:qFormat/>
    <w:uiPriority w:val="0"/>
    <w:pPr>
      <w:widowControl/>
      <w:spacing w:before="100" w:beforeAutospacing="1" w:after="100" w:afterAutospacing="1"/>
      <w:jc w:val="left"/>
      <w:textAlignment w:val="bottom"/>
    </w:pPr>
    <w:rPr>
      <w:rFonts w:eastAsia="Arial Unicode MS"/>
      <w:sz w:val="20"/>
    </w:rPr>
  </w:style>
  <w:style w:type="paragraph" w:customStyle="1" w:styleId="81">
    <w:name w:val="样式7"/>
    <w:basedOn w:val="1"/>
    <w:qFormat/>
    <w:uiPriority w:val="0"/>
    <w:pPr>
      <w:spacing w:line="360" w:lineRule="auto"/>
      <w:ind w:firstLine="567"/>
    </w:pPr>
    <w:rPr>
      <w:rFonts w:ascii="仿宋_GB2312" w:eastAsia="仿宋_GB2312"/>
      <w:sz w:val="28"/>
    </w:rPr>
  </w:style>
  <w:style w:type="paragraph" w:customStyle="1" w:styleId="82">
    <w:name w:val="xl66"/>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Arial Unicode MS" w:hAnsi="Arial Unicode MS" w:eastAsia="Arial Unicode MS" w:cs="Arial Unicode MS"/>
      <w:sz w:val="20"/>
    </w:rPr>
  </w:style>
  <w:style w:type="paragraph" w:customStyle="1" w:styleId="83">
    <w:name w:val="xl37"/>
    <w:basedOn w:val="1"/>
    <w:qFormat/>
    <w:uiPriority w:val="0"/>
    <w:pPr>
      <w:widowControl/>
      <w:pBdr>
        <w:top w:val="single" w:color="auto" w:sz="4" w:space="0"/>
        <w:left w:val="single" w:color="auto" w:sz="4" w:space="0"/>
        <w:bottom w:val="single" w:color="auto" w:sz="4" w:space="0"/>
        <w:right w:val="single" w:color="auto" w:sz="4" w:space="0"/>
      </w:pBdr>
      <w:adjustRightInd w:val="0"/>
      <w:spacing w:before="100" w:beforeAutospacing="1" w:after="100" w:afterAutospacing="1" w:line="360" w:lineRule="atLeast"/>
      <w:jc w:val="center"/>
      <w:textAlignment w:val="baseline"/>
    </w:pPr>
    <w:rPr>
      <w:rFonts w:ascii="Arial Unicode MS" w:hAnsi="Arial Unicode MS" w:eastAsia="Arial Unicode MS" w:cs="楷体_GB2312"/>
      <w:sz w:val="22"/>
      <w:szCs w:val="22"/>
    </w:rPr>
  </w:style>
  <w:style w:type="paragraph" w:customStyle="1" w:styleId="84">
    <w:name w:val="_Style 69"/>
    <w:basedOn w:val="1"/>
    <w:next w:val="1"/>
    <w:link w:val="298"/>
    <w:qFormat/>
    <w:uiPriority w:val="0"/>
    <w:pPr>
      <w:widowControl/>
      <w:pBdr>
        <w:top w:val="single" w:color="auto" w:sz="6" w:space="1"/>
      </w:pBdr>
      <w:jc w:val="center"/>
    </w:pPr>
    <w:rPr>
      <w:rFonts w:ascii="Arial" w:hAnsi="Arial" w:cs="Arial"/>
      <w:vanish/>
      <w:color w:val="000000"/>
      <w:sz w:val="16"/>
      <w:szCs w:val="16"/>
    </w:rPr>
  </w:style>
  <w:style w:type="paragraph" w:customStyle="1" w:styleId="85">
    <w:name w:val="xl73"/>
    <w:basedOn w:val="1"/>
    <w:qFormat/>
    <w:uiPriority w:val="0"/>
    <w:pPr>
      <w:widowControl/>
      <w:pBdr>
        <w:top w:val="single" w:color="auto" w:sz="4" w:space="0"/>
        <w:left w:val="single" w:color="auto" w:sz="4" w:space="0"/>
        <w:bottom w:val="single" w:color="auto" w:sz="8" w:space="0"/>
        <w:right w:val="single" w:color="auto" w:sz="4" w:space="0"/>
      </w:pBdr>
      <w:shd w:val="clear" w:color="auto" w:fill="FFFFFF"/>
      <w:spacing w:before="100" w:beforeAutospacing="1" w:after="100" w:afterAutospacing="1"/>
      <w:jc w:val="left"/>
    </w:pPr>
    <w:rPr>
      <w:rFonts w:ascii="Arial Narrow" w:hAnsi="Arial Narrow" w:cs="宋体"/>
      <w:sz w:val="20"/>
    </w:rPr>
  </w:style>
  <w:style w:type="paragraph" w:customStyle="1" w:styleId="86">
    <w:name w:val="font7"/>
    <w:basedOn w:val="1"/>
    <w:qFormat/>
    <w:uiPriority w:val="0"/>
    <w:pPr>
      <w:widowControl/>
      <w:adjustRightInd w:val="0"/>
      <w:spacing w:before="100" w:beforeAutospacing="1" w:after="100" w:afterAutospacing="1" w:line="360" w:lineRule="atLeast"/>
      <w:jc w:val="left"/>
      <w:textAlignment w:val="baseline"/>
    </w:pPr>
    <w:rPr>
      <w:rFonts w:eastAsia="Arial Unicode MS"/>
      <w:sz w:val="22"/>
      <w:szCs w:val="22"/>
    </w:rPr>
  </w:style>
  <w:style w:type="paragraph" w:customStyle="1" w:styleId="87">
    <w:name w:val="forum"/>
    <w:basedOn w:val="1"/>
    <w:qFormat/>
    <w:uiPriority w:val="0"/>
    <w:pPr>
      <w:widowControl/>
      <w:spacing w:before="100" w:beforeAutospacing="1" w:after="100" w:afterAutospacing="1" w:line="300" w:lineRule="atLeast"/>
      <w:ind w:firstLine="400"/>
      <w:jc w:val="left"/>
    </w:pPr>
    <w:rPr>
      <w:rFonts w:hint="eastAsia" w:hAnsi="宋体"/>
      <w:szCs w:val="21"/>
    </w:rPr>
  </w:style>
  <w:style w:type="paragraph" w:customStyle="1" w:styleId="88">
    <w:name w:val="xl46"/>
    <w:basedOn w:val="1"/>
    <w:qFormat/>
    <w:uiPriority w:val="0"/>
    <w:pPr>
      <w:widowControl/>
      <w:pBdr>
        <w:top w:val="single" w:color="auto" w:sz="4" w:space="0"/>
        <w:left w:val="single" w:color="auto" w:sz="4" w:space="0"/>
        <w:bottom w:val="single" w:color="auto" w:sz="4" w:space="0"/>
        <w:right w:val="single" w:color="auto" w:sz="4" w:space="0"/>
      </w:pBdr>
      <w:adjustRightInd w:val="0"/>
      <w:spacing w:before="100" w:beforeAutospacing="1" w:after="100" w:afterAutospacing="1" w:line="360" w:lineRule="atLeast"/>
      <w:jc w:val="left"/>
      <w:textAlignment w:val="baseline"/>
    </w:pPr>
    <w:rPr>
      <w:rFonts w:ascii="Arial Narrow" w:hAnsi="Arial Narrow" w:eastAsia="Arial Unicode MS" w:cs="楷体_GB2312"/>
      <w:sz w:val="12"/>
      <w:szCs w:val="12"/>
    </w:rPr>
  </w:style>
  <w:style w:type="paragraph" w:customStyle="1" w:styleId="89">
    <w:name w:val="xl83"/>
    <w:basedOn w:val="1"/>
    <w:qFormat/>
    <w:uiPriority w:val="0"/>
    <w:pPr>
      <w:widowControl/>
      <w:pBdr>
        <w:top w:val="single" w:color="auto" w:sz="4" w:space="0"/>
        <w:left w:val="single" w:color="auto" w:sz="4" w:space="0"/>
        <w:bottom w:val="single" w:color="auto" w:sz="8" w:space="0"/>
        <w:right w:val="single" w:color="auto" w:sz="8" w:space="0"/>
      </w:pBdr>
      <w:shd w:val="clear" w:color="auto" w:fill="FFFFFF"/>
      <w:spacing w:before="100" w:beforeAutospacing="1" w:after="100" w:afterAutospacing="1"/>
      <w:jc w:val="left"/>
    </w:pPr>
    <w:rPr>
      <w:rFonts w:ascii="Arial Narrow" w:hAnsi="Arial Narrow" w:cs="宋体"/>
      <w:sz w:val="20"/>
    </w:rPr>
  </w:style>
  <w:style w:type="paragraph" w:customStyle="1" w:styleId="90">
    <w:name w:val="Char Char1 Char"/>
    <w:basedOn w:val="19"/>
    <w:qFormat/>
    <w:uiPriority w:val="0"/>
  </w:style>
  <w:style w:type="paragraph" w:customStyle="1" w:styleId="91">
    <w:name w:val="xl78"/>
    <w:basedOn w:val="1"/>
    <w:qFormat/>
    <w:uiPriority w:val="0"/>
    <w:pPr>
      <w:widowControl/>
      <w:shd w:val="clear" w:color="auto" w:fill="FFFFFF"/>
      <w:spacing w:before="100" w:beforeAutospacing="1" w:after="100" w:afterAutospacing="1"/>
      <w:jc w:val="right"/>
    </w:pPr>
    <w:rPr>
      <w:rFonts w:hint="eastAsia" w:ascii="仿宋_GB2312" w:hAnsi="Arial Unicode MS" w:eastAsia="仿宋_GB2312" w:cs="Arial Unicode MS"/>
      <w:sz w:val="20"/>
    </w:rPr>
  </w:style>
  <w:style w:type="paragraph" w:customStyle="1" w:styleId="92">
    <w:name w:val="样式1"/>
    <w:basedOn w:val="24"/>
    <w:qFormat/>
    <w:uiPriority w:val="0"/>
    <w:pPr>
      <w:tabs>
        <w:tab w:val="left" w:pos="3420"/>
        <w:tab w:val="left" w:pos="3780"/>
      </w:tabs>
      <w:spacing w:before="100" w:after="100" w:line="240" w:lineRule="atLeast"/>
      <w:ind w:firstLine="198"/>
      <w:textAlignment w:val="bottom"/>
    </w:pPr>
    <w:rPr>
      <w:rFonts w:ascii="仿宋_GB2312" w:hAnsi="华文仿宋" w:eastAsia="仿宋_GB2312"/>
      <w:kern w:val="2"/>
      <w:sz w:val="28"/>
    </w:rPr>
  </w:style>
  <w:style w:type="paragraph" w:customStyle="1" w:styleId="93">
    <w:name w:val="xl99"/>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right"/>
      <w:textAlignment w:val="center"/>
    </w:pPr>
    <w:rPr>
      <w:rFonts w:ascii="Arial Unicode MS" w:hAnsi="Arial Unicode MS" w:eastAsia="Arial Unicode MS" w:cs="Arial Unicode MS"/>
      <w:sz w:val="24"/>
      <w:szCs w:val="24"/>
    </w:rPr>
  </w:style>
  <w:style w:type="paragraph" w:customStyle="1" w:styleId="94">
    <w:name w:val="Default"/>
    <w:link w:val="379"/>
    <w:unhideWhenUsed/>
    <w:qFormat/>
    <w:uiPriority w:val="0"/>
    <w:pPr>
      <w:widowControl w:val="0"/>
      <w:autoSpaceDE w:val="0"/>
      <w:autoSpaceDN w:val="0"/>
      <w:adjustRightInd w:val="0"/>
    </w:pPr>
    <w:rPr>
      <w:rFonts w:hint="eastAsia" w:ascii="仿宋_GB2312" w:hAnsi="仿宋_GB2312" w:eastAsia="仿宋_GB2312" w:cs="Times New Roman"/>
      <w:color w:val="000000"/>
      <w:sz w:val="24"/>
      <w:lang w:val="en-US" w:eastAsia="zh-CN" w:bidi="ar-SA"/>
    </w:rPr>
  </w:style>
  <w:style w:type="paragraph" w:customStyle="1" w:styleId="95">
    <w:name w:val="标题 4 + (符号) Arial Narrow"/>
    <w:basedOn w:val="5"/>
    <w:qFormat/>
    <w:uiPriority w:val="0"/>
    <w:pPr>
      <w:spacing w:before="60" w:after="60" w:line="300" w:lineRule="auto"/>
      <w:ind w:firstLine="360" w:firstLineChars="128"/>
    </w:pPr>
    <w:rPr>
      <w:rFonts w:ascii="仿宋_GB2312" w:hAnsi="Arial Narrow" w:eastAsia="仿宋_GB2312"/>
      <w:bCs w:val="0"/>
      <w:sz w:val="28"/>
    </w:rPr>
  </w:style>
  <w:style w:type="paragraph" w:customStyle="1" w:styleId="96">
    <w:name w:val="font1"/>
    <w:basedOn w:val="1"/>
    <w:qFormat/>
    <w:uiPriority w:val="0"/>
    <w:pPr>
      <w:widowControl/>
      <w:adjustRightInd w:val="0"/>
      <w:spacing w:before="100" w:beforeAutospacing="1" w:after="100" w:afterAutospacing="1" w:line="360" w:lineRule="atLeast"/>
      <w:jc w:val="left"/>
      <w:textAlignment w:val="baseline"/>
    </w:pPr>
    <w:rPr>
      <w:rFonts w:hint="eastAsia" w:hAnsi="宋体"/>
      <w:sz w:val="24"/>
      <w:szCs w:val="24"/>
    </w:rPr>
  </w:style>
  <w:style w:type="paragraph" w:customStyle="1" w:styleId="97">
    <w:name w:val="正"/>
    <w:basedOn w:val="1"/>
    <w:qFormat/>
    <w:uiPriority w:val="0"/>
    <w:pPr>
      <w:widowControl/>
      <w:autoSpaceDE w:val="0"/>
      <w:autoSpaceDN w:val="0"/>
      <w:adjustRightInd w:val="0"/>
      <w:spacing w:line="360" w:lineRule="auto"/>
      <w:ind w:firstLine="510"/>
      <w:textAlignment w:val="bottom"/>
    </w:pPr>
    <w:rPr>
      <w:sz w:val="24"/>
    </w:rPr>
  </w:style>
  <w:style w:type="paragraph" w:customStyle="1" w:styleId="98">
    <w:name w:val="正文1 Char Char Char Char Char Char Char Char Char Char"/>
    <w:basedOn w:val="1"/>
    <w:qFormat/>
    <w:uiPriority w:val="0"/>
    <w:pPr>
      <w:tabs>
        <w:tab w:val="left" w:pos="5327"/>
        <w:tab w:val="left" w:pos="6326"/>
        <w:tab w:val="left" w:pos="7230"/>
        <w:tab w:val="left" w:pos="9301"/>
      </w:tabs>
      <w:autoSpaceDE w:val="0"/>
      <w:autoSpaceDN w:val="0"/>
      <w:adjustRightInd w:val="0"/>
      <w:snapToGrid w:val="0"/>
      <w:spacing w:line="600" w:lineRule="exact"/>
      <w:ind w:firstLine="200" w:firstLineChars="200"/>
      <w:jc w:val="left"/>
    </w:pPr>
    <w:rPr>
      <w:rFonts w:ascii="Arial Narrow" w:hAnsi="Arial Narrow" w:eastAsia="仿宋_GB2312"/>
      <w:color w:val="000000"/>
      <w:kern w:val="10"/>
      <w:sz w:val="28"/>
      <w:szCs w:val="28"/>
    </w:rPr>
  </w:style>
  <w:style w:type="paragraph" w:customStyle="1" w:styleId="99">
    <w:name w:val="彩色列表 - 强调文字颜色 11"/>
    <w:basedOn w:val="1"/>
    <w:qFormat/>
    <w:uiPriority w:val="0"/>
    <w:pPr>
      <w:adjustRightInd w:val="0"/>
      <w:spacing w:line="360" w:lineRule="atLeast"/>
      <w:ind w:firstLine="420" w:firstLineChars="200"/>
      <w:textAlignment w:val="baseline"/>
    </w:pPr>
  </w:style>
  <w:style w:type="paragraph" w:customStyle="1" w:styleId="100">
    <w:name w:val="pictext"/>
    <w:basedOn w:val="1"/>
    <w:qFormat/>
    <w:uiPriority w:val="0"/>
    <w:pPr>
      <w:widowControl/>
      <w:spacing w:before="100" w:beforeAutospacing="1" w:after="100" w:afterAutospacing="1"/>
      <w:jc w:val="left"/>
    </w:pPr>
    <w:rPr>
      <w:rFonts w:hAnsi="宋体" w:cs="宋体"/>
      <w:sz w:val="24"/>
      <w:szCs w:val="24"/>
    </w:rPr>
  </w:style>
  <w:style w:type="paragraph" w:customStyle="1" w:styleId="101">
    <w:name w:val="xl44"/>
    <w:basedOn w:val="1"/>
    <w:qFormat/>
    <w:uiPriority w:val="0"/>
    <w:pPr>
      <w:widowControl/>
      <w:adjustRightInd w:val="0"/>
      <w:spacing w:before="100" w:beforeAutospacing="1" w:after="100" w:afterAutospacing="1" w:line="360" w:lineRule="atLeast"/>
      <w:jc w:val="center"/>
      <w:textAlignment w:val="baseline"/>
    </w:pPr>
    <w:rPr>
      <w:rFonts w:hAnsi="宋体"/>
      <w:sz w:val="24"/>
      <w:szCs w:val="24"/>
    </w:rPr>
  </w:style>
  <w:style w:type="paragraph" w:customStyle="1" w:styleId="102">
    <w:name w:val="样式9"/>
    <w:basedOn w:val="1"/>
    <w:qFormat/>
    <w:uiPriority w:val="0"/>
    <w:pPr>
      <w:spacing w:line="320" w:lineRule="atLeast"/>
    </w:pPr>
    <w:rPr>
      <w:rFonts w:ascii="楷体_GB2312" w:eastAsia="楷体_GB2312"/>
      <w:spacing w:val="20"/>
      <w:sz w:val="28"/>
    </w:rPr>
  </w:style>
  <w:style w:type="paragraph" w:customStyle="1" w:styleId="103">
    <w:name w:val="ST20_4"/>
    <w:basedOn w:val="1"/>
    <w:qFormat/>
    <w:uiPriority w:val="0"/>
    <w:pPr>
      <w:autoSpaceDE w:val="0"/>
      <w:autoSpaceDN w:val="0"/>
      <w:adjustRightInd w:val="0"/>
      <w:jc w:val="left"/>
      <w:textAlignment w:val="baseline"/>
    </w:pPr>
    <w:rPr>
      <w:rFonts w:hAnsi="Tms Rmn"/>
      <w:sz w:val="24"/>
    </w:rPr>
  </w:style>
  <w:style w:type="paragraph" w:customStyle="1" w:styleId="104">
    <w:name w:val="cc"/>
    <w:basedOn w:val="105"/>
    <w:qFormat/>
    <w:uiPriority w:val="0"/>
    <w:pPr>
      <w:spacing w:before="120"/>
      <w:ind w:firstLine="0"/>
    </w:pPr>
    <w:rPr>
      <w:rFonts w:ascii="大黑体" w:eastAsia="大黑体"/>
    </w:rPr>
  </w:style>
  <w:style w:type="paragraph" w:customStyle="1" w:styleId="105">
    <w:name w:val="XBT"/>
    <w:basedOn w:val="1"/>
    <w:qFormat/>
    <w:uiPriority w:val="0"/>
    <w:pPr>
      <w:adjustRightInd w:val="0"/>
      <w:spacing w:before="480" w:after="120" w:line="440" w:lineRule="atLeast"/>
      <w:ind w:firstLine="425"/>
      <w:textAlignment w:val="baseline"/>
    </w:pPr>
    <w:rPr>
      <w:rFonts w:ascii="Arial Narrow" w:hAnsi="Arial Narrow" w:eastAsia="黑体"/>
      <w:b/>
      <w:sz w:val="24"/>
    </w:rPr>
  </w:style>
  <w:style w:type="paragraph" w:customStyle="1" w:styleId="106">
    <w:name w:val="Table Text"/>
    <w:qFormat/>
    <w:uiPriority w:val="0"/>
    <w:rPr>
      <w:rFonts w:ascii="Times New Roman" w:hAnsi="Times New Roman" w:eastAsia="宋体" w:cs="Times New Roman"/>
      <w:snapToGrid w:val="0"/>
      <w:color w:val="000000"/>
      <w:sz w:val="24"/>
      <w:lang w:val="en-US" w:eastAsia="en-US" w:bidi="ar-SA"/>
    </w:rPr>
  </w:style>
  <w:style w:type="paragraph" w:customStyle="1" w:styleId="107">
    <w:name w:val="xl101"/>
    <w:basedOn w:val="1"/>
    <w:qFormat/>
    <w:uiPriority w:val="0"/>
    <w:pPr>
      <w:widowControl/>
      <w:pBdr>
        <w:top w:val="single" w:color="auto" w:sz="4" w:space="0"/>
        <w:bottom w:val="single" w:color="auto" w:sz="4" w:space="0"/>
        <w:right w:val="single" w:color="auto" w:sz="8" w:space="0"/>
      </w:pBdr>
      <w:shd w:val="clear" w:color="auto" w:fill="FFFFFF"/>
      <w:spacing w:before="100" w:beforeAutospacing="1" w:after="100" w:afterAutospacing="1"/>
      <w:jc w:val="center"/>
    </w:pPr>
    <w:rPr>
      <w:rFonts w:ascii="Arial Narrow" w:hAnsi="Arial Narrow" w:cs="宋体"/>
      <w:sz w:val="20"/>
    </w:rPr>
  </w:style>
  <w:style w:type="paragraph" w:customStyle="1" w:styleId="108">
    <w:name w:val="xl33"/>
    <w:basedOn w:val="1"/>
    <w:qFormat/>
    <w:uiPriority w:val="0"/>
    <w:pPr>
      <w:widowControl/>
      <w:pBdr>
        <w:top w:val="single" w:color="auto" w:sz="4" w:space="0"/>
        <w:left w:val="single" w:color="auto" w:sz="4" w:space="0"/>
        <w:bottom w:val="single" w:color="auto" w:sz="4" w:space="0"/>
      </w:pBdr>
      <w:adjustRightInd w:val="0"/>
      <w:spacing w:before="100" w:beforeAutospacing="1" w:after="100" w:afterAutospacing="1" w:line="360" w:lineRule="atLeast"/>
      <w:jc w:val="center"/>
      <w:textAlignment w:val="baseline"/>
    </w:pPr>
    <w:rPr>
      <w:rFonts w:ascii="Arial Unicode MS" w:hAnsi="Arial Unicode MS" w:eastAsia="Arial Unicode MS" w:cs="楷体_GB2312"/>
      <w:sz w:val="22"/>
      <w:szCs w:val="22"/>
    </w:rPr>
  </w:style>
  <w:style w:type="paragraph" w:customStyle="1" w:styleId="109">
    <w:name w:val="xl55"/>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textAlignment w:val="center"/>
    </w:pPr>
    <w:rPr>
      <w:rFonts w:hint="eastAsia" w:ascii="仿宋_GB2312" w:hAnsi="Arial Unicode MS" w:eastAsia="仿宋_GB2312" w:cs="Arial Unicode MS"/>
      <w:sz w:val="18"/>
      <w:szCs w:val="18"/>
    </w:rPr>
  </w:style>
  <w:style w:type="paragraph" w:customStyle="1" w:styleId="110">
    <w:name w:val="xl88"/>
    <w:basedOn w:val="1"/>
    <w:qFormat/>
    <w:uiPriority w:val="0"/>
    <w:pPr>
      <w:widowControl/>
      <w:pBdr>
        <w:top w:val="single" w:color="auto" w:sz="8" w:space="0"/>
      </w:pBdr>
      <w:shd w:val="clear" w:color="auto" w:fill="FFFFFF"/>
      <w:spacing w:before="100" w:beforeAutospacing="1" w:after="100" w:afterAutospacing="1"/>
      <w:jc w:val="center"/>
    </w:pPr>
    <w:rPr>
      <w:rFonts w:ascii="Arial Narrow" w:hAnsi="Arial Narrow" w:cs="宋体"/>
      <w:sz w:val="20"/>
    </w:rPr>
  </w:style>
  <w:style w:type="paragraph" w:customStyle="1" w:styleId="111">
    <w:name w:val="xl65"/>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Arial Unicode MS" w:hAnsi="Arial Unicode MS" w:eastAsia="Arial Unicode MS" w:cs="Arial Unicode MS"/>
      <w:sz w:val="20"/>
    </w:rPr>
  </w:style>
  <w:style w:type="paragraph" w:customStyle="1" w:styleId="112">
    <w:name w:val="xl36"/>
    <w:basedOn w:val="1"/>
    <w:uiPriority w:val="0"/>
    <w:pPr>
      <w:widowControl/>
      <w:pBdr>
        <w:top w:val="single" w:color="auto" w:sz="4" w:space="0"/>
        <w:bottom w:val="single" w:color="auto" w:sz="4" w:space="0"/>
        <w:right w:val="single" w:color="auto" w:sz="4" w:space="0"/>
      </w:pBdr>
      <w:adjustRightInd w:val="0"/>
      <w:spacing w:before="100" w:beforeAutospacing="1" w:after="100" w:afterAutospacing="1" w:line="360" w:lineRule="atLeast"/>
      <w:jc w:val="center"/>
      <w:textAlignment w:val="baseline"/>
    </w:pPr>
    <w:rPr>
      <w:rFonts w:ascii="Arial Unicode MS" w:hAnsi="Arial Unicode MS" w:eastAsia="Arial Unicode MS" w:cs="楷体_GB2312"/>
      <w:sz w:val="22"/>
      <w:szCs w:val="22"/>
    </w:rPr>
  </w:style>
  <w:style w:type="paragraph" w:customStyle="1" w:styleId="113">
    <w:name w:val="xl25"/>
    <w:basedOn w:val="1"/>
    <w:uiPriority w:val="0"/>
    <w:pPr>
      <w:widowControl/>
      <w:pBdr>
        <w:top w:val="dotted" w:color="auto" w:sz="4" w:space="0"/>
        <w:left w:val="dotted" w:color="auto" w:sz="4" w:space="0"/>
        <w:bottom w:val="dotted" w:color="auto" w:sz="4" w:space="0"/>
        <w:right w:val="dotted" w:color="auto" w:sz="4" w:space="0"/>
      </w:pBdr>
      <w:adjustRightInd w:val="0"/>
      <w:spacing w:before="100" w:beforeAutospacing="1" w:after="100" w:afterAutospacing="1" w:line="360" w:lineRule="atLeast"/>
      <w:jc w:val="left"/>
      <w:textAlignment w:val="center"/>
    </w:pPr>
    <w:rPr>
      <w:rFonts w:hAnsi="宋体"/>
      <w:color w:val="000000"/>
      <w:sz w:val="18"/>
      <w:szCs w:val="18"/>
    </w:rPr>
  </w:style>
  <w:style w:type="paragraph" w:customStyle="1" w:styleId="114">
    <w:name w:val="xl63"/>
    <w:basedOn w:val="1"/>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textAlignment w:val="center"/>
    </w:pPr>
    <w:rPr>
      <w:rFonts w:ascii="Arial Unicode MS" w:hAnsi="Arial Unicode MS" w:eastAsia="Arial Unicode MS" w:cs="Arial Unicode MS"/>
      <w:sz w:val="20"/>
    </w:rPr>
  </w:style>
  <w:style w:type="paragraph" w:customStyle="1" w:styleId="115">
    <w:name w:val="xl91"/>
    <w:basedOn w:val="1"/>
    <w:uiPriority w:val="0"/>
    <w:pPr>
      <w:widowControl/>
      <w:pBdr>
        <w:top w:val="single" w:color="auto" w:sz="4" w:space="0"/>
        <w:left w:val="single" w:color="auto" w:sz="4" w:space="0"/>
        <w:bottom w:val="single" w:color="auto" w:sz="8" w:space="0"/>
        <w:right w:val="single" w:color="auto" w:sz="4" w:space="0"/>
      </w:pBdr>
      <w:spacing w:before="100" w:beforeAutospacing="1" w:after="100" w:afterAutospacing="1"/>
      <w:jc w:val="right"/>
      <w:textAlignment w:val="center"/>
    </w:pPr>
    <w:rPr>
      <w:rFonts w:ascii="Arial Unicode MS" w:hAnsi="Arial Unicode MS" w:eastAsia="Arial Unicode MS" w:cs="Arial Unicode MS"/>
      <w:b/>
      <w:bCs/>
      <w:sz w:val="24"/>
      <w:szCs w:val="24"/>
    </w:rPr>
  </w:style>
  <w:style w:type="paragraph" w:customStyle="1" w:styleId="116">
    <w:name w:val="xl62"/>
    <w:basedOn w:val="1"/>
    <w:uiPriority w:val="0"/>
    <w:pPr>
      <w:widowControl/>
      <w:pBdr>
        <w:left w:val="single" w:color="auto" w:sz="4" w:space="0"/>
        <w:bottom w:val="single" w:color="auto" w:sz="4" w:space="0"/>
        <w:right w:val="single" w:color="auto" w:sz="4" w:space="0"/>
      </w:pBdr>
      <w:spacing w:before="100" w:beforeAutospacing="1" w:after="100" w:afterAutospacing="1"/>
      <w:jc w:val="center"/>
      <w:textAlignment w:val="center"/>
    </w:pPr>
    <w:rPr>
      <w:rFonts w:eastAsia="Arial Unicode MS"/>
      <w:sz w:val="18"/>
      <w:szCs w:val="18"/>
    </w:rPr>
  </w:style>
  <w:style w:type="paragraph" w:customStyle="1" w:styleId="117">
    <w:name w:val="默认段落字体 Para Char Char Char Char Char Char Char"/>
    <w:basedOn w:val="1"/>
    <w:qFormat/>
    <w:uiPriority w:val="0"/>
    <w:rPr>
      <w:rFonts w:ascii="Tahoma" w:hAnsi="Tahoma"/>
      <w:sz w:val="24"/>
    </w:rPr>
  </w:style>
  <w:style w:type="paragraph" w:customStyle="1" w:styleId="118">
    <w:name w:val="普通 (Web)"/>
    <w:basedOn w:val="1"/>
    <w:uiPriority w:val="0"/>
    <w:pPr>
      <w:widowControl/>
      <w:adjustRightInd w:val="0"/>
      <w:spacing w:before="100" w:beforeAutospacing="1" w:after="100" w:afterAutospacing="1" w:line="360" w:lineRule="atLeast"/>
      <w:jc w:val="left"/>
      <w:textAlignment w:val="baseline"/>
    </w:pPr>
    <w:rPr>
      <w:rFonts w:hAnsi="宋体"/>
      <w:sz w:val="24"/>
      <w:szCs w:val="24"/>
    </w:rPr>
  </w:style>
  <w:style w:type="paragraph" w:customStyle="1" w:styleId="119">
    <w:name w:val="Char Char Char1 Char Char Char1 Char Char Char Char Char Char Char"/>
    <w:basedOn w:val="1"/>
    <w:qFormat/>
    <w:uiPriority w:val="0"/>
  </w:style>
  <w:style w:type="paragraph" w:customStyle="1" w:styleId="120">
    <w:name w:val="xl23"/>
    <w:basedOn w:val="1"/>
    <w:uiPriority w:val="0"/>
    <w:pPr>
      <w:widowControl/>
      <w:pBdr>
        <w:left w:val="single" w:color="auto" w:sz="4" w:space="0"/>
        <w:bottom w:val="single" w:color="auto" w:sz="4" w:space="0"/>
        <w:right w:val="single" w:color="auto" w:sz="4" w:space="0"/>
      </w:pBdr>
      <w:spacing w:before="100" w:beforeAutospacing="1" w:after="100" w:afterAutospacing="1"/>
      <w:jc w:val="center"/>
    </w:pPr>
    <w:rPr>
      <w:rFonts w:ascii="Arial Narrow" w:hAnsi="Arial Narrow" w:eastAsia="Arial Unicode MS" w:cs="Arial Unicode MS"/>
      <w:szCs w:val="21"/>
    </w:rPr>
  </w:style>
  <w:style w:type="paragraph" w:customStyle="1" w:styleId="121">
    <w:name w:val="样式 样式 样式 样式 首行缩进:  2 字符1 + 首行缩进:  2 字符 + 行距: 1.5 倍行距 Char + 首行缩进..."/>
    <w:basedOn w:val="1"/>
    <w:uiPriority w:val="0"/>
    <w:pPr>
      <w:spacing w:line="360" w:lineRule="auto"/>
      <w:ind w:firstLine="560" w:firstLineChars="200"/>
    </w:pPr>
    <w:rPr>
      <w:sz w:val="28"/>
      <w:szCs w:val="28"/>
    </w:rPr>
  </w:style>
  <w:style w:type="paragraph" w:customStyle="1" w:styleId="122">
    <w:name w:val="xl56"/>
    <w:basedOn w:val="1"/>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textAlignment w:val="center"/>
    </w:pPr>
    <w:rPr>
      <w:rFonts w:hint="eastAsia" w:ascii="仿宋_GB2312" w:hAnsi="Arial Unicode MS" w:eastAsia="仿宋_GB2312" w:cs="Arial Unicode MS"/>
      <w:sz w:val="20"/>
    </w:rPr>
  </w:style>
  <w:style w:type="paragraph" w:customStyle="1" w:styleId="123">
    <w:name w:val="xl61"/>
    <w:basedOn w:val="1"/>
    <w:uiPriority w:val="0"/>
    <w:pPr>
      <w:widowControl/>
      <w:pBdr>
        <w:top w:val="single" w:color="auto" w:sz="4" w:space="0"/>
        <w:left w:val="single" w:color="auto" w:sz="4" w:space="0"/>
        <w:right w:val="single" w:color="auto" w:sz="4" w:space="0"/>
      </w:pBdr>
      <w:spacing w:before="100" w:beforeAutospacing="1" w:after="100" w:afterAutospacing="1"/>
      <w:jc w:val="center"/>
      <w:textAlignment w:val="center"/>
    </w:pPr>
    <w:rPr>
      <w:rFonts w:ascii="Arial Unicode MS" w:hAnsi="Arial Unicode MS" w:eastAsia="Arial Unicode MS" w:cs="Arial Unicode MS"/>
      <w:sz w:val="18"/>
      <w:szCs w:val="18"/>
    </w:rPr>
  </w:style>
  <w:style w:type="paragraph" w:customStyle="1" w:styleId="124">
    <w:name w:val="font9"/>
    <w:basedOn w:val="1"/>
    <w:qFormat/>
    <w:uiPriority w:val="0"/>
    <w:pPr>
      <w:widowControl/>
      <w:adjustRightInd w:val="0"/>
      <w:spacing w:before="100" w:beforeAutospacing="1" w:after="100" w:afterAutospacing="1" w:line="360" w:lineRule="atLeast"/>
      <w:jc w:val="left"/>
      <w:textAlignment w:val="baseline"/>
    </w:pPr>
    <w:rPr>
      <w:b/>
      <w:bCs/>
      <w:color w:val="000000"/>
      <w:sz w:val="18"/>
      <w:szCs w:val="18"/>
    </w:rPr>
  </w:style>
  <w:style w:type="paragraph" w:customStyle="1" w:styleId="125">
    <w:name w:val="表1"/>
    <w:basedOn w:val="1"/>
    <w:qFormat/>
    <w:uiPriority w:val="0"/>
    <w:pPr>
      <w:autoSpaceDE w:val="0"/>
      <w:autoSpaceDN w:val="0"/>
      <w:adjustRightInd w:val="0"/>
      <w:spacing w:line="360" w:lineRule="atLeast"/>
      <w:jc w:val="center"/>
      <w:textAlignment w:val="bottom"/>
    </w:pPr>
    <w:rPr>
      <w:rFonts w:ascii="仿宋_GB2312" w:eastAsia="仿宋_GB2312"/>
      <w:sz w:val="18"/>
    </w:rPr>
  </w:style>
  <w:style w:type="paragraph" w:customStyle="1" w:styleId="126">
    <w:name w:val="纯文本1"/>
    <w:basedOn w:val="1"/>
    <w:qFormat/>
    <w:uiPriority w:val="0"/>
    <w:pPr>
      <w:adjustRightInd w:val="0"/>
      <w:textAlignment w:val="baseline"/>
    </w:pPr>
  </w:style>
  <w:style w:type="paragraph" w:customStyle="1" w:styleId="127">
    <w:name w:val="表格"/>
    <w:basedOn w:val="1"/>
    <w:qFormat/>
    <w:uiPriority w:val="0"/>
    <w:pPr>
      <w:tabs>
        <w:tab w:val="left" w:pos="5327"/>
        <w:tab w:val="left" w:pos="6326"/>
        <w:tab w:val="left" w:pos="7230"/>
        <w:tab w:val="left" w:pos="9301"/>
      </w:tabs>
      <w:spacing w:line="0" w:lineRule="atLeast"/>
      <w:jc w:val="center"/>
    </w:pPr>
    <w:rPr>
      <w:rFonts w:ascii="Arial Narrow" w:hAnsi="Arial Narrow" w:eastAsia="仿宋_GB2312"/>
      <w:sz w:val="24"/>
      <w:szCs w:val="28"/>
    </w:rPr>
  </w:style>
  <w:style w:type="paragraph" w:customStyle="1" w:styleId="128">
    <w:name w:val="样式一"/>
    <w:basedOn w:val="1"/>
    <w:qFormat/>
    <w:uiPriority w:val="0"/>
    <w:pPr>
      <w:snapToGrid w:val="0"/>
      <w:spacing w:before="120" w:after="120"/>
    </w:pPr>
    <w:rPr>
      <w:b/>
      <w:sz w:val="24"/>
    </w:rPr>
  </w:style>
  <w:style w:type="paragraph" w:customStyle="1" w:styleId="129">
    <w:name w:val="xl84"/>
    <w:basedOn w:val="1"/>
    <w:qFormat/>
    <w:uiPriority w:val="0"/>
    <w:pPr>
      <w:widowControl/>
      <w:pBdr>
        <w:left w:val="single" w:color="auto" w:sz="4" w:space="0"/>
        <w:right w:val="single" w:color="auto" w:sz="4" w:space="0"/>
      </w:pBdr>
      <w:shd w:val="clear" w:color="auto" w:fill="FFFFFF"/>
      <w:spacing w:before="100" w:beforeAutospacing="1" w:after="100" w:afterAutospacing="1"/>
      <w:jc w:val="center"/>
    </w:pPr>
    <w:rPr>
      <w:rFonts w:ascii="Arial Narrow" w:hAnsi="Arial Narrow" w:cs="宋体"/>
      <w:sz w:val="20"/>
    </w:rPr>
  </w:style>
  <w:style w:type="paragraph" w:customStyle="1" w:styleId="130">
    <w:name w:val="xl87"/>
    <w:basedOn w:val="1"/>
    <w:qFormat/>
    <w:uiPriority w:val="0"/>
    <w:pPr>
      <w:widowControl/>
      <w:pBdr>
        <w:top w:val="single" w:color="auto" w:sz="8" w:space="0"/>
        <w:left w:val="single" w:color="auto" w:sz="4" w:space="0"/>
      </w:pBdr>
      <w:shd w:val="clear" w:color="auto" w:fill="FFFFFF"/>
      <w:spacing w:before="100" w:beforeAutospacing="1" w:after="100" w:afterAutospacing="1"/>
      <w:jc w:val="center"/>
    </w:pPr>
    <w:rPr>
      <w:rFonts w:hAnsi="宋体" w:cs="宋体"/>
      <w:sz w:val="20"/>
    </w:rPr>
  </w:style>
  <w:style w:type="paragraph" w:customStyle="1" w:styleId="131">
    <w:name w:val="xl93"/>
    <w:basedOn w:val="1"/>
    <w:qFormat/>
    <w:uiPriority w:val="0"/>
    <w:pPr>
      <w:widowControl/>
      <w:pBdr>
        <w:top w:val="single" w:color="auto" w:sz="4" w:space="0"/>
        <w:left w:val="single" w:color="auto" w:sz="4" w:space="0"/>
        <w:bottom w:val="single" w:color="auto" w:sz="4" w:space="0"/>
        <w:right w:val="single" w:color="auto" w:sz="8" w:space="0"/>
      </w:pBdr>
      <w:spacing w:before="100" w:beforeAutospacing="1" w:after="100" w:afterAutospacing="1"/>
      <w:jc w:val="right"/>
      <w:textAlignment w:val="center"/>
    </w:pPr>
    <w:rPr>
      <w:rFonts w:ascii="Arial Unicode MS" w:hAnsi="Arial Unicode MS" w:eastAsia="Arial Unicode MS" w:cs="Arial Unicode MS"/>
      <w:sz w:val="24"/>
      <w:szCs w:val="24"/>
    </w:rPr>
  </w:style>
  <w:style w:type="paragraph" w:customStyle="1" w:styleId="132">
    <w:name w:val="附 注"/>
    <w:basedOn w:val="4"/>
    <w:qFormat/>
    <w:uiPriority w:val="0"/>
    <w:pPr>
      <w:tabs>
        <w:tab w:val="left" w:pos="1140"/>
      </w:tabs>
      <w:spacing w:after="60" w:line="440" w:lineRule="atLeast"/>
      <w:ind w:firstLine="624"/>
    </w:pPr>
    <w:rPr>
      <w:rFonts w:ascii="Garamond" w:hAnsi="Garamond" w:eastAsia="仿宋_GB2312"/>
      <w:sz w:val="28"/>
    </w:rPr>
  </w:style>
  <w:style w:type="paragraph" w:customStyle="1" w:styleId="133">
    <w:name w:val="样式 两端对齐 行距: 1.5 倍行距"/>
    <w:basedOn w:val="1"/>
    <w:qFormat/>
    <w:uiPriority w:val="0"/>
    <w:pPr>
      <w:autoSpaceDE w:val="0"/>
      <w:autoSpaceDN w:val="0"/>
      <w:adjustRightInd w:val="0"/>
      <w:spacing w:line="360" w:lineRule="auto"/>
      <w:ind w:firstLine="560" w:firstLineChars="200"/>
    </w:pPr>
    <w:rPr>
      <w:rFonts w:ascii="仿宋_GB2312" w:eastAsia="仿宋_GB2312"/>
      <w:sz w:val="28"/>
    </w:rPr>
  </w:style>
  <w:style w:type="paragraph" w:customStyle="1" w:styleId="134">
    <w:name w:val="xl71"/>
    <w:basedOn w:val="1"/>
    <w:qFormat/>
    <w:uiPriority w:val="0"/>
    <w:pPr>
      <w:widowControl/>
      <w:pBdr>
        <w:top w:val="single" w:color="auto" w:sz="4" w:space="0"/>
        <w:left w:val="single" w:color="auto" w:sz="4" w:space="0"/>
        <w:bottom w:val="single" w:color="auto" w:sz="4" w:space="0"/>
        <w:right w:val="single" w:color="auto" w:sz="4" w:space="0"/>
      </w:pBdr>
      <w:shd w:val="clear" w:color="auto" w:fill="FFFFFF"/>
      <w:spacing w:before="100" w:beforeAutospacing="1" w:after="100" w:afterAutospacing="1"/>
      <w:jc w:val="left"/>
    </w:pPr>
    <w:rPr>
      <w:rFonts w:ascii="Arial Narrow" w:hAnsi="Arial Narrow" w:cs="宋体"/>
      <w:color w:val="000000"/>
      <w:sz w:val="20"/>
    </w:rPr>
  </w:style>
  <w:style w:type="paragraph" w:customStyle="1" w:styleId="135">
    <w:name w:val="Char1 Char Char Char Char Char Char Char Char Char Char Char"/>
    <w:basedOn w:val="1"/>
    <w:qFormat/>
    <w:uiPriority w:val="0"/>
    <w:rPr>
      <w:rFonts w:ascii="Tahoma" w:hAnsi="Tahoma"/>
      <w:sz w:val="24"/>
    </w:rPr>
  </w:style>
  <w:style w:type="paragraph" w:customStyle="1" w:styleId="136">
    <w:name w:val="Char1"/>
    <w:basedOn w:val="1"/>
    <w:qFormat/>
    <w:uiPriority w:val="0"/>
    <w:rPr>
      <w:rFonts w:ascii="Tahoma" w:hAnsi="Tahoma"/>
      <w:sz w:val="24"/>
    </w:rPr>
  </w:style>
  <w:style w:type="paragraph" w:customStyle="1" w:styleId="137">
    <w:name w:val="xl102"/>
    <w:basedOn w:val="1"/>
    <w:qFormat/>
    <w:uiPriority w:val="0"/>
    <w:pPr>
      <w:widowControl/>
      <w:pBdr>
        <w:left w:val="single" w:color="auto" w:sz="8" w:space="0"/>
        <w:bottom w:val="single" w:color="auto" w:sz="4" w:space="0"/>
        <w:right w:val="single" w:color="auto" w:sz="4" w:space="0"/>
      </w:pBdr>
      <w:shd w:val="clear" w:color="auto" w:fill="FFFFFF"/>
      <w:spacing w:before="100" w:beforeAutospacing="1" w:after="100" w:afterAutospacing="1"/>
      <w:jc w:val="center"/>
    </w:pPr>
    <w:rPr>
      <w:rFonts w:hAnsi="宋体" w:cs="宋体"/>
      <w:sz w:val="20"/>
    </w:rPr>
  </w:style>
  <w:style w:type="paragraph" w:customStyle="1" w:styleId="138">
    <w:name w:val="4"/>
    <w:basedOn w:val="1"/>
    <w:next w:val="53"/>
    <w:qFormat/>
    <w:uiPriority w:val="0"/>
    <w:pPr>
      <w:snapToGrid w:val="0"/>
      <w:spacing w:line="300" w:lineRule="auto"/>
      <w:ind w:firstLine="556"/>
    </w:pPr>
    <w:rPr>
      <w:rFonts w:eastAsia="仿宋_GB2312"/>
      <w:sz w:val="24"/>
      <w:szCs w:val="24"/>
    </w:rPr>
  </w:style>
  <w:style w:type="paragraph" w:customStyle="1" w:styleId="139">
    <w:name w:val="xl31"/>
    <w:basedOn w:val="1"/>
    <w:qFormat/>
    <w:uiPriority w:val="0"/>
    <w:pPr>
      <w:widowControl/>
      <w:pBdr>
        <w:top w:val="single" w:color="auto" w:sz="4" w:space="0"/>
        <w:left w:val="single" w:color="auto" w:sz="4" w:space="0"/>
        <w:bottom w:val="single" w:color="auto" w:sz="4" w:space="0"/>
        <w:right w:val="single" w:color="auto" w:sz="4" w:space="0"/>
      </w:pBdr>
      <w:adjustRightInd w:val="0"/>
      <w:spacing w:before="100" w:beforeAutospacing="1" w:after="100" w:afterAutospacing="1" w:line="360" w:lineRule="atLeast"/>
      <w:jc w:val="left"/>
      <w:textAlignment w:val="baseline"/>
    </w:pPr>
    <w:rPr>
      <w:rFonts w:ascii="Arial Narrow" w:hAnsi="Arial Narrow" w:eastAsia="Arial Unicode MS" w:cs="楷体_GB2312"/>
      <w:sz w:val="22"/>
      <w:szCs w:val="22"/>
    </w:rPr>
  </w:style>
  <w:style w:type="paragraph" w:customStyle="1" w:styleId="140">
    <w:name w:val="标书正文"/>
    <w:link w:val="280"/>
    <w:qFormat/>
    <w:uiPriority w:val="0"/>
    <w:pPr>
      <w:adjustRightInd w:val="0"/>
      <w:snapToGrid w:val="0"/>
      <w:spacing w:line="300" w:lineRule="auto"/>
      <w:ind w:firstLine="200" w:firstLineChars="200"/>
      <w:jc w:val="both"/>
    </w:pPr>
    <w:rPr>
      <w:rFonts w:ascii="仿宋_GB2312" w:hAnsi="Times New Roman" w:eastAsia="仿宋_GB2312" w:cs="Times New Roman"/>
      <w:snapToGrid w:val="0"/>
      <w:sz w:val="28"/>
      <w:lang w:val="en-US" w:eastAsia="zh-CN" w:bidi="ar-SA"/>
    </w:rPr>
  </w:style>
  <w:style w:type="paragraph" w:customStyle="1" w:styleId="141">
    <w:name w:val="xl108"/>
    <w:basedOn w:val="1"/>
    <w:qFormat/>
    <w:uiPriority w:val="0"/>
    <w:pPr>
      <w:widowControl/>
      <w:pBdr>
        <w:left w:val="single" w:color="auto" w:sz="4" w:space="0"/>
        <w:bottom w:val="single" w:color="auto" w:sz="4" w:space="0"/>
        <w:right w:val="single" w:color="auto" w:sz="4" w:space="0"/>
      </w:pBdr>
      <w:shd w:val="clear" w:color="auto" w:fill="FFFFFF"/>
      <w:spacing w:before="100" w:beforeAutospacing="1" w:after="100" w:afterAutospacing="1"/>
      <w:jc w:val="center"/>
    </w:pPr>
    <w:rPr>
      <w:rFonts w:ascii="Arial Narrow" w:hAnsi="Arial Narrow" w:cs="宋体"/>
      <w:sz w:val="20"/>
    </w:rPr>
  </w:style>
  <w:style w:type="paragraph" w:customStyle="1" w:styleId="142">
    <w:name w:val="xl34"/>
    <w:basedOn w:val="1"/>
    <w:qFormat/>
    <w:uiPriority w:val="0"/>
    <w:pPr>
      <w:widowControl/>
      <w:pBdr>
        <w:top w:val="single" w:color="auto" w:sz="4" w:space="0"/>
        <w:bottom w:val="single" w:color="auto" w:sz="4" w:space="0"/>
        <w:right w:val="single" w:color="auto" w:sz="4" w:space="0"/>
      </w:pBdr>
      <w:adjustRightInd w:val="0"/>
      <w:spacing w:before="100" w:beforeAutospacing="1" w:after="100" w:afterAutospacing="1" w:line="360" w:lineRule="atLeast"/>
      <w:jc w:val="center"/>
      <w:textAlignment w:val="baseline"/>
    </w:pPr>
    <w:rPr>
      <w:rFonts w:ascii="Arial Unicode MS" w:hAnsi="Arial Unicode MS" w:eastAsia="Arial Unicode MS" w:cs="楷体_GB2312"/>
      <w:sz w:val="22"/>
      <w:szCs w:val="22"/>
    </w:rPr>
  </w:style>
  <w:style w:type="paragraph" w:customStyle="1" w:styleId="143">
    <w:name w:val="font5"/>
    <w:basedOn w:val="1"/>
    <w:qFormat/>
    <w:uiPriority w:val="0"/>
    <w:pPr>
      <w:widowControl/>
      <w:adjustRightInd w:val="0"/>
      <w:spacing w:before="100" w:beforeAutospacing="1" w:after="100" w:afterAutospacing="1" w:line="360" w:lineRule="atLeast"/>
      <w:jc w:val="left"/>
      <w:textAlignment w:val="baseline"/>
    </w:pPr>
    <w:rPr>
      <w:rFonts w:hint="eastAsia" w:hAnsi="宋体" w:cs="楷体_GB2312"/>
      <w:sz w:val="18"/>
      <w:szCs w:val="18"/>
    </w:rPr>
  </w:style>
  <w:style w:type="paragraph" w:customStyle="1" w:styleId="144">
    <w:name w:val="xl67"/>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MS Sans Serif" w:hAnsi="MS Sans Serif" w:eastAsia="Arial Unicode MS" w:cs="Arial Unicode MS"/>
      <w:sz w:val="20"/>
    </w:rPr>
  </w:style>
  <w:style w:type="paragraph" w:customStyle="1" w:styleId="145">
    <w:name w:val="xl79"/>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textAlignment w:val="bottom"/>
    </w:pPr>
    <w:rPr>
      <w:rFonts w:eastAsia="Arial Unicode MS"/>
      <w:sz w:val="20"/>
    </w:rPr>
  </w:style>
  <w:style w:type="paragraph" w:customStyle="1" w:styleId="146">
    <w:name w:val="Normal2"/>
    <w:qFormat/>
    <w:uiPriority w:val="0"/>
    <w:pPr>
      <w:widowControl w:val="0"/>
      <w:adjustRightInd w:val="0"/>
      <w:spacing w:line="312" w:lineRule="atLeast"/>
      <w:jc w:val="both"/>
      <w:textAlignment w:val="baseline"/>
    </w:pPr>
    <w:rPr>
      <w:rFonts w:ascii="宋体" w:hAnsi="Times New Roman" w:eastAsia="宋体" w:cs="Times New Roman"/>
      <w:sz w:val="34"/>
      <w:lang w:val="en-US" w:eastAsia="zh-CN" w:bidi="ar-SA"/>
    </w:rPr>
  </w:style>
  <w:style w:type="paragraph" w:customStyle="1" w:styleId="147">
    <w:name w:val="正文2"/>
    <w:qFormat/>
    <w:uiPriority w:val="0"/>
    <w:pPr>
      <w:widowControl w:val="0"/>
      <w:adjustRightInd w:val="0"/>
      <w:spacing w:line="312" w:lineRule="atLeast"/>
      <w:jc w:val="both"/>
      <w:textAlignment w:val="baseline"/>
    </w:pPr>
    <w:rPr>
      <w:rFonts w:ascii="宋体" w:hAnsi="Times New Roman" w:eastAsia="宋体" w:cs="Times New Roman"/>
      <w:sz w:val="34"/>
      <w:lang w:val="en-US" w:eastAsia="zh-CN" w:bidi="ar-SA"/>
    </w:rPr>
  </w:style>
  <w:style w:type="paragraph" w:customStyle="1" w:styleId="148">
    <w:name w:val="Char Char Char Char1 Char Char Char"/>
    <w:basedOn w:val="1"/>
    <w:qFormat/>
    <w:uiPriority w:val="0"/>
    <w:pPr>
      <w:widowControl/>
      <w:spacing w:after="160" w:line="240" w:lineRule="exact"/>
      <w:jc w:val="left"/>
    </w:pPr>
    <w:rPr>
      <w:rFonts w:ascii="Verdana" w:hAnsi="Verdana"/>
      <w:sz w:val="20"/>
      <w:lang w:eastAsia="en-US"/>
    </w:rPr>
  </w:style>
  <w:style w:type="paragraph" w:customStyle="1" w:styleId="149">
    <w:name w:val="xl90"/>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right"/>
      <w:textAlignment w:val="center"/>
    </w:pPr>
    <w:rPr>
      <w:rFonts w:ascii="Arial Unicode MS" w:hAnsi="Arial Unicode MS" w:eastAsia="Arial Unicode MS" w:cs="Arial Unicode MS"/>
      <w:b/>
      <w:bCs/>
      <w:sz w:val="24"/>
      <w:szCs w:val="24"/>
    </w:rPr>
  </w:style>
  <w:style w:type="paragraph" w:customStyle="1" w:styleId="150">
    <w:name w:val="yl"/>
    <w:basedOn w:val="1"/>
    <w:qFormat/>
    <w:uiPriority w:val="0"/>
    <w:pPr>
      <w:adjustRightInd w:val="0"/>
      <w:spacing w:before="60" w:after="60" w:line="360" w:lineRule="auto"/>
      <w:ind w:firstLine="510"/>
    </w:pPr>
    <w:rPr>
      <w:rFonts w:ascii="Arial" w:hAnsi="Arial"/>
      <w:sz w:val="24"/>
    </w:rPr>
  </w:style>
  <w:style w:type="paragraph" w:customStyle="1" w:styleId="151">
    <w:name w:val="Body Text 21"/>
    <w:basedOn w:val="1"/>
    <w:qFormat/>
    <w:uiPriority w:val="0"/>
    <w:pPr>
      <w:widowControl/>
      <w:adjustRightInd w:val="0"/>
      <w:ind w:firstLine="570"/>
      <w:textAlignment w:val="baseline"/>
    </w:pPr>
    <w:rPr>
      <w:rFonts w:ascii="仿宋体" w:eastAsia="仿宋体"/>
      <w:sz w:val="28"/>
    </w:rPr>
  </w:style>
  <w:style w:type="paragraph" w:customStyle="1" w:styleId="152">
    <w:name w:val="MM Topic 1"/>
    <w:basedOn w:val="2"/>
    <w:qFormat/>
    <w:uiPriority w:val="0"/>
    <w:pPr>
      <w:spacing w:before="60" w:after="60" w:line="240" w:lineRule="auto"/>
      <w:ind w:firstLine="221" w:firstLineChars="221"/>
      <w:jc w:val="center"/>
    </w:pPr>
    <w:rPr>
      <w:rFonts w:ascii="仿宋_GB2312" w:hAnsi="Arial Narrow" w:eastAsia="仿宋_GB2312"/>
      <w:bCs w:val="0"/>
      <w:sz w:val="24"/>
      <w:szCs w:val="24"/>
    </w:rPr>
  </w:style>
  <w:style w:type="paragraph" w:customStyle="1" w:styleId="153">
    <w:name w:val="xl54"/>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eastAsia="Arial Unicode MS"/>
      <w:sz w:val="20"/>
    </w:rPr>
  </w:style>
  <w:style w:type="paragraph" w:customStyle="1" w:styleId="154">
    <w:name w:val="Char11"/>
    <w:basedOn w:val="1"/>
    <w:qFormat/>
    <w:uiPriority w:val="0"/>
    <w:rPr>
      <w:rFonts w:ascii="Tahoma" w:hAnsi="Tahoma"/>
      <w:sz w:val="24"/>
    </w:rPr>
  </w:style>
  <w:style w:type="paragraph" w:customStyle="1" w:styleId="155">
    <w:name w:val="xl24"/>
    <w:basedOn w:val="1"/>
    <w:qFormat/>
    <w:uiPriority w:val="0"/>
    <w:pPr>
      <w:widowControl/>
      <w:pBdr>
        <w:top w:val="dotted" w:color="auto" w:sz="4" w:space="0"/>
        <w:left w:val="dotted" w:color="auto" w:sz="4" w:space="0"/>
        <w:bottom w:val="dotted" w:color="auto" w:sz="4" w:space="0"/>
        <w:right w:val="dotted" w:color="auto" w:sz="4" w:space="0"/>
      </w:pBdr>
      <w:adjustRightInd w:val="0"/>
      <w:spacing w:before="100" w:beforeAutospacing="1" w:after="100" w:afterAutospacing="1" w:line="360" w:lineRule="atLeast"/>
      <w:jc w:val="left"/>
      <w:textAlignment w:val="baseline"/>
    </w:pPr>
    <w:rPr>
      <w:rFonts w:hAnsi="宋体"/>
      <w:color w:val="000000"/>
      <w:sz w:val="18"/>
      <w:szCs w:val="18"/>
    </w:rPr>
  </w:style>
  <w:style w:type="paragraph" w:customStyle="1" w:styleId="156">
    <w:name w:val="MM Title"/>
    <w:basedOn w:val="55"/>
    <w:qFormat/>
    <w:uiPriority w:val="0"/>
    <w:pPr>
      <w:spacing w:before="60"/>
      <w:ind w:firstLine="539" w:firstLineChars="221"/>
    </w:pPr>
    <w:rPr>
      <w:rFonts w:ascii="仿宋_GB2312" w:eastAsia="仿宋_GB2312"/>
      <w:sz w:val="24"/>
      <w:szCs w:val="24"/>
    </w:rPr>
  </w:style>
  <w:style w:type="paragraph" w:customStyle="1" w:styleId="157">
    <w:name w:val="Body Single"/>
    <w:qFormat/>
    <w:uiPriority w:val="0"/>
    <w:pPr>
      <w:widowControl w:val="0"/>
      <w:tabs>
        <w:tab w:val="left" w:pos="705"/>
        <w:tab w:val="left" w:pos="1440"/>
        <w:tab w:val="left" w:pos="2304"/>
        <w:tab w:val="right" w:pos="10425"/>
      </w:tabs>
      <w:jc w:val="both"/>
    </w:pPr>
    <w:rPr>
      <w:rFonts w:ascii="Times New Roman" w:hAnsi="Times New Roman" w:eastAsia="宋体" w:cs="Times New Roman"/>
      <w:snapToGrid w:val="0"/>
      <w:color w:val="000000"/>
      <w:sz w:val="24"/>
      <w:lang w:val="en-US" w:eastAsia="en-US" w:bidi="ar-SA"/>
    </w:rPr>
  </w:style>
  <w:style w:type="paragraph" w:customStyle="1" w:styleId="158">
    <w:name w:val="Char1 Char Char Char Char Char Char"/>
    <w:basedOn w:val="1"/>
    <w:qFormat/>
    <w:uiPriority w:val="0"/>
    <w:pPr>
      <w:spacing w:line="360" w:lineRule="auto"/>
      <w:ind w:firstLine="200" w:firstLineChars="200"/>
    </w:pPr>
    <w:rPr>
      <w:rFonts w:hAnsi="宋体" w:cs="宋体"/>
      <w:sz w:val="24"/>
      <w:szCs w:val="24"/>
    </w:rPr>
  </w:style>
  <w:style w:type="paragraph" w:customStyle="1" w:styleId="159">
    <w:name w:val="表格内容"/>
    <w:basedOn w:val="1"/>
    <w:qFormat/>
    <w:uiPriority w:val="0"/>
    <w:pPr>
      <w:widowControl/>
      <w:tabs>
        <w:tab w:val="left" w:pos="5327"/>
        <w:tab w:val="left" w:pos="6326"/>
        <w:tab w:val="left" w:pos="7230"/>
        <w:tab w:val="left" w:pos="9301"/>
      </w:tabs>
      <w:spacing w:line="360" w:lineRule="exact"/>
      <w:jc w:val="center"/>
    </w:pPr>
    <w:rPr>
      <w:rFonts w:ascii="Arial Narrow" w:hAnsi="Arial Narrow" w:eastAsia="华文中宋" w:cs="宋体"/>
      <w:b/>
      <w:sz w:val="24"/>
      <w:szCs w:val="28"/>
    </w:rPr>
  </w:style>
  <w:style w:type="paragraph" w:customStyle="1" w:styleId="160">
    <w:name w:val="1"/>
    <w:basedOn w:val="1"/>
    <w:next w:val="4"/>
    <w:qFormat/>
    <w:uiPriority w:val="0"/>
    <w:pPr>
      <w:adjustRightInd w:val="0"/>
      <w:spacing w:line="360" w:lineRule="atLeast"/>
      <w:ind w:firstLine="420"/>
      <w:textAlignment w:val="baseline"/>
    </w:pPr>
  </w:style>
  <w:style w:type="paragraph" w:customStyle="1" w:styleId="161">
    <w:name w:val="Plain Text1"/>
    <w:basedOn w:val="1"/>
    <w:qFormat/>
    <w:uiPriority w:val="0"/>
    <w:pPr>
      <w:autoSpaceDE w:val="0"/>
      <w:autoSpaceDN w:val="0"/>
      <w:adjustRightInd w:val="0"/>
      <w:textAlignment w:val="baseline"/>
    </w:pPr>
    <w:rPr>
      <w:szCs w:val="21"/>
    </w:rPr>
  </w:style>
  <w:style w:type="paragraph" w:customStyle="1" w:styleId="162">
    <w:name w:val="xl92"/>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right"/>
      <w:textAlignment w:val="center"/>
    </w:pPr>
    <w:rPr>
      <w:rFonts w:ascii="Arial Unicode MS" w:hAnsi="Arial Unicode MS" w:eastAsia="Arial Unicode MS" w:cs="Arial Unicode MS"/>
      <w:color w:val="FFFFFF"/>
      <w:sz w:val="24"/>
      <w:szCs w:val="24"/>
    </w:rPr>
  </w:style>
  <w:style w:type="paragraph" w:customStyle="1" w:styleId="163">
    <w:name w:val="xl57"/>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Arial Unicode MS" w:hAnsi="Arial Unicode MS" w:eastAsia="Arial Unicode MS" w:cs="Arial Unicode MS"/>
      <w:sz w:val="18"/>
      <w:szCs w:val="18"/>
    </w:rPr>
  </w:style>
  <w:style w:type="paragraph" w:customStyle="1" w:styleId="164">
    <w:name w:val="xl40"/>
    <w:basedOn w:val="1"/>
    <w:qFormat/>
    <w:uiPriority w:val="0"/>
    <w:pPr>
      <w:widowControl/>
      <w:pBdr>
        <w:bottom w:val="single" w:color="auto" w:sz="4" w:space="0"/>
        <w:right w:val="single" w:color="auto" w:sz="4" w:space="0"/>
      </w:pBdr>
      <w:adjustRightInd w:val="0"/>
      <w:spacing w:before="100" w:beforeAutospacing="1" w:after="100" w:afterAutospacing="1" w:line="360" w:lineRule="atLeast"/>
      <w:jc w:val="left"/>
      <w:textAlignment w:val="baseline"/>
    </w:pPr>
    <w:rPr>
      <w:rFonts w:ascii="Arial Narrow" w:hAnsi="Arial Narrow" w:eastAsia="Arial Unicode MS" w:cs="楷体_GB2312"/>
      <w:sz w:val="18"/>
      <w:szCs w:val="18"/>
    </w:rPr>
  </w:style>
  <w:style w:type="paragraph" w:customStyle="1" w:styleId="165">
    <w:name w:val="xl110"/>
    <w:basedOn w:val="1"/>
    <w:qFormat/>
    <w:uiPriority w:val="0"/>
    <w:pPr>
      <w:widowControl/>
      <w:pBdr>
        <w:top w:val="single" w:color="auto" w:sz="4" w:space="0"/>
        <w:bottom w:val="single" w:color="auto" w:sz="4" w:space="0"/>
      </w:pBdr>
      <w:spacing w:before="100" w:beforeAutospacing="1" w:after="100" w:afterAutospacing="1"/>
      <w:jc w:val="left"/>
    </w:pPr>
    <w:rPr>
      <w:rFonts w:hAnsi="宋体" w:cs="宋体"/>
      <w:sz w:val="24"/>
      <w:szCs w:val="24"/>
    </w:rPr>
  </w:style>
  <w:style w:type="paragraph" w:customStyle="1" w:styleId="166">
    <w:name w:val="xl28"/>
    <w:basedOn w:val="1"/>
    <w:qFormat/>
    <w:uiPriority w:val="0"/>
    <w:pPr>
      <w:widowControl/>
      <w:pBdr>
        <w:top w:val="dotted" w:color="auto" w:sz="4" w:space="0"/>
        <w:left w:val="dotted" w:color="auto" w:sz="4" w:space="0"/>
        <w:bottom w:val="dotted" w:color="auto" w:sz="4" w:space="0"/>
        <w:right w:val="dotted" w:color="auto" w:sz="4" w:space="0"/>
      </w:pBdr>
      <w:adjustRightInd w:val="0"/>
      <w:spacing w:before="100" w:beforeAutospacing="1" w:after="100" w:afterAutospacing="1" w:line="360" w:lineRule="atLeast"/>
      <w:jc w:val="center"/>
      <w:textAlignment w:val="center"/>
    </w:pPr>
    <w:rPr>
      <w:rFonts w:hAnsi="宋体"/>
      <w:color w:val="000000"/>
      <w:sz w:val="18"/>
      <w:szCs w:val="18"/>
    </w:rPr>
  </w:style>
  <w:style w:type="paragraph" w:customStyle="1" w:styleId="167">
    <w:name w:val="估价项目名称"/>
    <w:basedOn w:val="1"/>
    <w:qFormat/>
    <w:uiPriority w:val="0"/>
    <w:pPr>
      <w:adjustRightInd w:val="0"/>
      <w:spacing w:line="540" w:lineRule="exact"/>
      <w:ind w:firstLine="560" w:firstLineChars="200"/>
      <w:textAlignment w:val="baseline"/>
    </w:pPr>
    <w:rPr>
      <w:rFonts w:eastAsia="仿宋_GB2312"/>
      <w:sz w:val="28"/>
    </w:rPr>
  </w:style>
  <w:style w:type="paragraph" w:customStyle="1" w:styleId="168">
    <w:name w:val="xl47"/>
    <w:basedOn w:val="1"/>
    <w:qFormat/>
    <w:uiPriority w:val="0"/>
    <w:pPr>
      <w:widowControl/>
      <w:pBdr>
        <w:top w:val="single" w:color="auto" w:sz="4" w:space="0"/>
        <w:left w:val="single" w:color="auto" w:sz="4" w:space="0"/>
        <w:bottom w:val="single" w:color="auto" w:sz="4" w:space="0"/>
        <w:right w:val="single" w:color="auto" w:sz="4" w:space="0"/>
      </w:pBdr>
      <w:adjustRightInd w:val="0"/>
      <w:spacing w:before="100" w:beforeAutospacing="1" w:after="100" w:afterAutospacing="1" w:line="360" w:lineRule="atLeast"/>
      <w:jc w:val="center"/>
      <w:textAlignment w:val="baseline"/>
    </w:pPr>
    <w:rPr>
      <w:rFonts w:ascii="Arial Unicode MS" w:hAnsi="Arial Unicode MS" w:eastAsia="Arial Unicode MS" w:cs="楷体_GB2312"/>
      <w:sz w:val="12"/>
      <w:szCs w:val="12"/>
    </w:rPr>
  </w:style>
  <w:style w:type="paragraph" w:customStyle="1" w:styleId="169">
    <w:name w:val="正文 + 华文中宋"/>
    <w:basedOn w:val="170"/>
    <w:qFormat/>
    <w:uiPriority w:val="0"/>
    <w:pPr>
      <w:widowControl/>
      <w:overflowPunct w:val="0"/>
      <w:autoSpaceDE w:val="0"/>
      <w:autoSpaceDN w:val="0"/>
      <w:spacing w:before="120" w:after="120" w:line="240" w:lineRule="auto"/>
      <w:ind w:firstLine="482"/>
      <w:jc w:val="both"/>
    </w:pPr>
    <w:rPr>
      <w:rFonts w:ascii="华文中宋" w:hAnsi="华文中宋" w:eastAsia="华文中宋"/>
      <w:kern w:val="2"/>
      <w:sz w:val="21"/>
      <w:szCs w:val="24"/>
    </w:rPr>
  </w:style>
  <w:style w:type="paragraph" w:customStyle="1" w:styleId="170">
    <w:name w:val="标准"/>
    <w:basedOn w:val="1"/>
    <w:qFormat/>
    <w:uiPriority w:val="0"/>
    <w:pPr>
      <w:adjustRightInd w:val="0"/>
      <w:spacing w:line="312" w:lineRule="atLeast"/>
      <w:jc w:val="center"/>
      <w:textAlignment w:val="baseline"/>
    </w:pPr>
    <w:rPr>
      <w:rFonts w:ascii="文鼎CS仿宋体" w:eastAsia="文鼎CS仿宋体"/>
      <w:sz w:val="28"/>
    </w:rPr>
  </w:style>
  <w:style w:type="paragraph" w:customStyle="1" w:styleId="171">
    <w:name w:val="xl68"/>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textAlignment w:val="bottom"/>
    </w:pPr>
    <w:rPr>
      <w:sz w:val="16"/>
      <w:szCs w:val="16"/>
    </w:rPr>
  </w:style>
  <w:style w:type="paragraph" w:customStyle="1" w:styleId="172">
    <w:name w:val="zhenwen"/>
    <w:basedOn w:val="1"/>
    <w:qFormat/>
    <w:uiPriority w:val="0"/>
    <w:pPr>
      <w:spacing w:line="480" w:lineRule="exact"/>
      <w:ind w:firstLine="612"/>
    </w:pPr>
    <w:rPr>
      <w:spacing w:val="8"/>
      <w:sz w:val="28"/>
    </w:rPr>
  </w:style>
  <w:style w:type="paragraph" w:customStyle="1" w:styleId="173">
    <w:name w:val="Char"/>
    <w:basedOn w:val="1"/>
    <w:qFormat/>
    <w:uiPriority w:val="0"/>
    <w:rPr>
      <w:rFonts w:ascii="Tahoma" w:hAnsi="Tahoma"/>
      <w:sz w:val="24"/>
    </w:rPr>
  </w:style>
  <w:style w:type="paragraph" w:customStyle="1" w:styleId="174">
    <w:name w:val="小标题"/>
    <w:basedOn w:val="1"/>
    <w:qFormat/>
    <w:uiPriority w:val="0"/>
    <w:pPr>
      <w:adjustRightInd w:val="0"/>
      <w:spacing w:before="360" w:after="360" w:line="440" w:lineRule="atLeast"/>
      <w:ind w:right="239"/>
      <w:textAlignment w:val="baseline"/>
    </w:pPr>
    <w:rPr>
      <w:rFonts w:ascii="Arial Narrow" w:hAnsi="Arial Narrow" w:eastAsia="黑体"/>
      <w:b/>
      <w:spacing w:val="8"/>
      <w:sz w:val="32"/>
    </w:rPr>
  </w:style>
  <w:style w:type="paragraph" w:customStyle="1" w:styleId="175">
    <w:name w:val="xl45"/>
    <w:basedOn w:val="1"/>
    <w:qFormat/>
    <w:uiPriority w:val="0"/>
    <w:pPr>
      <w:widowControl/>
      <w:pBdr>
        <w:top w:val="single" w:color="auto" w:sz="4" w:space="0"/>
        <w:left w:val="single" w:color="auto" w:sz="4" w:space="0"/>
        <w:bottom w:val="single" w:color="auto" w:sz="4" w:space="0"/>
        <w:right w:val="single" w:color="auto" w:sz="4" w:space="0"/>
      </w:pBdr>
      <w:adjustRightInd w:val="0"/>
      <w:spacing w:before="100" w:beforeAutospacing="1" w:after="100" w:afterAutospacing="1" w:line="360" w:lineRule="atLeast"/>
      <w:jc w:val="left"/>
      <w:textAlignment w:val="baseline"/>
    </w:pPr>
    <w:rPr>
      <w:rFonts w:ascii="Arial Narrow" w:hAnsi="Arial Narrow" w:eastAsia="Arial Unicode MS" w:cs="楷体_GB2312"/>
      <w:sz w:val="12"/>
      <w:szCs w:val="12"/>
    </w:rPr>
  </w:style>
  <w:style w:type="paragraph" w:customStyle="1" w:styleId="176">
    <w:name w:val="fig"/>
    <w:basedOn w:val="1"/>
    <w:qFormat/>
    <w:uiPriority w:val="0"/>
    <w:pPr>
      <w:adjustRightInd w:val="0"/>
      <w:spacing w:before="120" w:after="240" w:line="360" w:lineRule="atLeast"/>
      <w:jc w:val="center"/>
      <w:textAlignment w:val="baseline"/>
    </w:pPr>
    <w:rPr>
      <w:rFonts w:ascii="黑体" w:eastAsia="黑体"/>
      <w:sz w:val="24"/>
    </w:rPr>
  </w:style>
  <w:style w:type="paragraph" w:customStyle="1" w:styleId="177">
    <w:name w:val="_Style 162"/>
    <w:basedOn w:val="1"/>
    <w:next w:val="1"/>
    <w:link w:val="336"/>
    <w:qFormat/>
    <w:uiPriority w:val="0"/>
    <w:pPr>
      <w:widowControl/>
      <w:pBdr>
        <w:bottom w:val="single" w:color="auto" w:sz="6" w:space="1"/>
      </w:pBdr>
      <w:jc w:val="center"/>
    </w:pPr>
    <w:rPr>
      <w:rFonts w:ascii="Arial" w:hAnsi="Arial" w:cs="Arial"/>
      <w:vanish/>
      <w:color w:val="000000"/>
      <w:sz w:val="16"/>
      <w:szCs w:val="16"/>
    </w:rPr>
  </w:style>
  <w:style w:type="paragraph" w:customStyle="1" w:styleId="178">
    <w:name w:val="font"/>
    <w:basedOn w:val="1"/>
    <w:qFormat/>
    <w:uiPriority w:val="0"/>
    <w:pPr>
      <w:widowControl/>
      <w:spacing w:before="100" w:beforeAutospacing="1" w:after="100" w:afterAutospacing="1"/>
      <w:jc w:val="left"/>
    </w:pPr>
    <w:rPr>
      <w:rFonts w:hAnsi="宋体"/>
      <w:sz w:val="24"/>
      <w:szCs w:val="24"/>
    </w:rPr>
  </w:style>
  <w:style w:type="paragraph" w:customStyle="1" w:styleId="179">
    <w:name w:val="xl82"/>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textAlignment w:val="bottom"/>
    </w:pPr>
    <w:rPr>
      <w:rFonts w:ascii="Arial Narrow" w:hAnsi="Arial Narrow" w:eastAsia="Arial Unicode MS" w:cs="Arial Unicode MS"/>
      <w:sz w:val="20"/>
    </w:rPr>
  </w:style>
  <w:style w:type="paragraph" w:customStyle="1" w:styleId="180">
    <w:name w:val="PP 行"/>
    <w:basedOn w:val="39"/>
    <w:qFormat/>
    <w:uiPriority w:val="0"/>
  </w:style>
  <w:style w:type="paragraph" w:customStyle="1" w:styleId="181">
    <w:name w:val="xl64"/>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textAlignment w:val="center"/>
    </w:pPr>
    <w:rPr>
      <w:rFonts w:eastAsia="Arial Unicode MS"/>
      <w:sz w:val="20"/>
    </w:rPr>
  </w:style>
  <w:style w:type="paragraph" w:customStyle="1" w:styleId="182">
    <w:name w:val="xl75"/>
    <w:basedOn w:val="1"/>
    <w:qFormat/>
    <w:uiPriority w:val="0"/>
    <w:pPr>
      <w:widowControl/>
      <w:pBdr>
        <w:top w:val="single" w:color="auto" w:sz="4" w:space="0"/>
        <w:bottom w:val="single" w:color="auto" w:sz="4" w:space="0"/>
      </w:pBdr>
      <w:shd w:val="clear" w:color="auto" w:fill="FFFFFF"/>
      <w:spacing w:before="100" w:beforeAutospacing="1" w:after="100" w:afterAutospacing="1"/>
      <w:jc w:val="left"/>
    </w:pPr>
    <w:rPr>
      <w:rFonts w:ascii="Arial Narrow" w:hAnsi="Arial Narrow" w:cs="宋体"/>
      <w:color w:val="000000"/>
      <w:sz w:val="20"/>
    </w:rPr>
  </w:style>
  <w:style w:type="paragraph" w:customStyle="1" w:styleId="183">
    <w:name w:val="xl39"/>
    <w:basedOn w:val="1"/>
    <w:qFormat/>
    <w:uiPriority w:val="0"/>
    <w:pPr>
      <w:widowControl/>
      <w:pBdr>
        <w:bottom w:val="single" w:color="auto" w:sz="4" w:space="0"/>
        <w:right w:val="single" w:color="auto" w:sz="4" w:space="0"/>
      </w:pBdr>
      <w:adjustRightInd w:val="0"/>
      <w:spacing w:before="100" w:beforeAutospacing="1" w:after="100" w:afterAutospacing="1" w:line="360" w:lineRule="atLeast"/>
      <w:jc w:val="right"/>
      <w:textAlignment w:val="baseline"/>
    </w:pPr>
    <w:rPr>
      <w:rFonts w:ascii="Arial Narrow" w:hAnsi="Arial Narrow" w:eastAsia="Arial Unicode MS" w:cs="楷体_GB2312"/>
      <w:sz w:val="18"/>
      <w:szCs w:val="18"/>
    </w:rPr>
  </w:style>
  <w:style w:type="paragraph" w:customStyle="1" w:styleId="184">
    <w:name w:val="正文yu"/>
    <w:basedOn w:val="23"/>
    <w:qFormat/>
    <w:uiPriority w:val="0"/>
    <w:pPr>
      <w:pBdr>
        <w:bottom w:val="single" w:color="auto" w:sz="4" w:space="1"/>
      </w:pBdr>
      <w:ind w:right="147" w:firstLine="360" w:firstLineChars="200"/>
      <w:jc w:val="right"/>
    </w:pPr>
    <w:rPr>
      <w:rFonts w:ascii="宋体" w:hAnsi="宋体" w:eastAsia="宋体"/>
      <w:sz w:val="18"/>
      <w:szCs w:val="18"/>
    </w:rPr>
  </w:style>
  <w:style w:type="paragraph" w:customStyle="1" w:styleId="185">
    <w:name w:val="text"/>
    <w:basedOn w:val="1"/>
    <w:qFormat/>
    <w:uiPriority w:val="0"/>
    <w:pPr>
      <w:widowControl/>
      <w:spacing w:before="100" w:beforeAutospacing="1" w:after="100" w:afterAutospacing="1" w:line="400" w:lineRule="atLeast"/>
      <w:ind w:firstLine="400"/>
      <w:jc w:val="left"/>
    </w:pPr>
    <w:rPr>
      <w:rFonts w:hAnsi="宋体"/>
      <w:sz w:val="24"/>
      <w:szCs w:val="24"/>
    </w:rPr>
  </w:style>
  <w:style w:type="paragraph" w:customStyle="1" w:styleId="186">
    <w:name w:val="Char2"/>
    <w:basedOn w:val="1"/>
    <w:qFormat/>
    <w:uiPriority w:val="0"/>
    <w:rPr>
      <w:rFonts w:ascii="Tahoma" w:hAnsi="Tahoma"/>
      <w:sz w:val="24"/>
    </w:rPr>
  </w:style>
  <w:style w:type="paragraph" w:customStyle="1" w:styleId="187">
    <w:name w:val="大标题"/>
    <w:basedOn w:val="24"/>
    <w:qFormat/>
    <w:uiPriority w:val="0"/>
    <w:pPr>
      <w:adjustRightInd/>
      <w:spacing w:after="0" w:line="360" w:lineRule="auto"/>
      <w:textAlignment w:val="auto"/>
      <w:outlineLvl w:val="0"/>
    </w:pPr>
    <w:rPr>
      <w:rFonts w:ascii="仿宋_GB2312" w:eastAsia="仿宋_GB2312"/>
      <w:b/>
      <w:kern w:val="2"/>
      <w:sz w:val="24"/>
    </w:rPr>
  </w:style>
  <w:style w:type="paragraph" w:customStyle="1" w:styleId="188">
    <w:name w:val="xl53"/>
    <w:basedOn w:val="1"/>
    <w:qFormat/>
    <w:uiPriority w:val="0"/>
    <w:pPr>
      <w:widowControl/>
      <w:pBdr>
        <w:top w:val="single" w:color="auto" w:sz="4" w:space="0"/>
        <w:left w:val="single" w:color="auto" w:sz="4" w:space="0"/>
        <w:bottom w:val="single" w:color="auto" w:sz="4" w:space="0"/>
        <w:right w:val="single" w:color="auto" w:sz="4" w:space="0"/>
      </w:pBdr>
      <w:shd w:val="clear" w:color="auto" w:fill="FFFF00"/>
      <w:spacing w:before="100" w:beforeAutospacing="1" w:after="100" w:afterAutospacing="1"/>
      <w:jc w:val="center"/>
    </w:pPr>
    <w:rPr>
      <w:rFonts w:hint="eastAsia" w:ascii="仿宋_GB2312" w:hAnsi="Arial Unicode MS" w:eastAsia="仿宋_GB2312" w:cs="Arial Unicode MS"/>
      <w:sz w:val="18"/>
      <w:szCs w:val="18"/>
    </w:rPr>
  </w:style>
  <w:style w:type="paragraph" w:customStyle="1" w:styleId="189">
    <w:name w:val="font8"/>
    <w:basedOn w:val="1"/>
    <w:qFormat/>
    <w:uiPriority w:val="0"/>
    <w:pPr>
      <w:widowControl/>
      <w:adjustRightInd w:val="0"/>
      <w:spacing w:before="100" w:beforeAutospacing="1" w:after="100" w:afterAutospacing="1" w:line="360" w:lineRule="atLeast"/>
      <w:jc w:val="left"/>
      <w:textAlignment w:val="baseline"/>
    </w:pPr>
    <w:rPr>
      <w:rFonts w:ascii="Arial Narrow" w:hAnsi="Arial Narrow" w:eastAsia="Arial Unicode MS" w:cs="楷体_GB2312"/>
      <w:sz w:val="12"/>
      <w:szCs w:val="12"/>
    </w:rPr>
  </w:style>
  <w:style w:type="paragraph" w:customStyle="1" w:styleId="190">
    <w:name w:val="内容"/>
    <w:basedOn w:val="1"/>
    <w:qFormat/>
    <w:uiPriority w:val="0"/>
    <w:pPr>
      <w:spacing w:line="360" w:lineRule="exact"/>
      <w:ind w:firstLine="314"/>
    </w:pPr>
    <w:rPr>
      <w:rFonts w:ascii="楷体_GB2312" w:hAnsi="Arial" w:eastAsia="楷体_GB2312" w:cs="Arial"/>
      <w:sz w:val="28"/>
      <w:szCs w:val="24"/>
    </w:rPr>
  </w:style>
  <w:style w:type="paragraph" w:customStyle="1" w:styleId="191">
    <w:name w:val="表名"/>
    <w:basedOn w:val="1"/>
    <w:link w:val="324"/>
    <w:qFormat/>
    <w:uiPriority w:val="0"/>
    <w:pPr>
      <w:spacing w:beforeLines="50" w:afterLines="50" w:line="360" w:lineRule="auto"/>
      <w:jc w:val="center"/>
    </w:pPr>
    <w:rPr>
      <w:rFonts w:ascii="Times New Roman" w:eastAsia="黑体"/>
      <w:kern w:val="2"/>
      <w:sz w:val="24"/>
      <w:szCs w:val="24"/>
    </w:rPr>
  </w:style>
  <w:style w:type="paragraph" w:customStyle="1" w:styleId="192">
    <w:name w:val="xl59"/>
    <w:basedOn w:val="1"/>
    <w:qFormat/>
    <w:uiPriority w:val="0"/>
    <w:pPr>
      <w:widowControl/>
      <w:pBdr>
        <w:top w:val="single" w:color="auto" w:sz="4" w:space="0"/>
        <w:left w:val="single" w:color="auto" w:sz="4" w:space="0"/>
        <w:bottom w:val="single" w:color="auto" w:sz="4" w:space="0"/>
        <w:right w:val="single" w:color="auto" w:sz="4" w:space="0"/>
      </w:pBdr>
      <w:shd w:val="clear" w:color="auto" w:fill="FFFF00"/>
      <w:spacing w:before="100" w:beforeAutospacing="1" w:after="100" w:afterAutospacing="1"/>
      <w:jc w:val="left"/>
    </w:pPr>
    <w:rPr>
      <w:rFonts w:eastAsia="Arial Unicode MS"/>
      <w:sz w:val="20"/>
    </w:rPr>
  </w:style>
  <w:style w:type="paragraph" w:customStyle="1" w:styleId="193">
    <w:name w:val="xl95"/>
    <w:basedOn w:val="1"/>
    <w:qFormat/>
    <w:uiPriority w:val="0"/>
    <w:pPr>
      <w:widowControl/>
      <w:pBdr>
        <w:top w:val="single" w:color="auto" w:sz="4" w:space="0"/>
        <w:left w:val="single" w:color="auto" w:sz="4" w:space="0"/>
        <w:bottom w:val="single" w:color="auto" w:sz="4" w:space="0"/>
        <w:right w:val="single" w:color="auto" w:sz="8" w:space="0"/>
      </w:pBdr>
      <w:spacing w:before="100" w:beforeAutospacing="1" w:after="100" w:afterAutospacing="1"/>
      <w:jc w:val="right"/>
      <w:textAlignment w:val="center"/>
    </w:pPr>
    <w:rPr>
      <w:rFonts w:ascii="Arial Unicode MS" w:hAnsi="Arial Unicode MS" w:eastAsia="Arial Unicode MS" w:cs="Arial Unicode MS"/>
      <w:b/>
      <w:bCs/>
      <w:sz w:val="24"/>
      <w:szCs w:val="24"/>
    </w:rPr>
  </w:style>
  <w:style w:type="paragraph" w:customStyle="1" w:styleId="194">
    <w:name w:val="样式3"/>
    <w:basedOn w:val="1"/>
    <w:qFormat/>
    <w:uiPriority w:val="0"/>
    <w:pPr>
      <w:spacing w:beforeLines="50" w:afterLines="50" w:line="500" w:lineRule="atLeast"/>
      <w:ind w:firstLine="200" w:firstLineChars="200"/>
      <w:jc w:val="left"/>
    </w:pPr>
    <w:rPr>
      <w:b/>
      <w:sz w:val="28"/>
      <w:szCs w:val="24"/>
    </w:rPr>
  </w:style>
  <w:style w:type="paragraph" w:customStyle="1" w:styleId="195">
    <w:name w:val="列出段落1"/>
    <w:basedOn w:val="1"/>
    <w:qFormat/>
    <w:uiPriority w:val="0"/>
    <w:pPr>
      <w:adjustRightInd w:val="0"/>
      <w:spacing w:line="360" w:lineRule="atLeast"/>
      <w:ind w:firstLine="420" w:firstLineChars="200"/>
      <w:textAlignment w:val="baseline"/>
    </w:pPr>
  </w:style>
  <w:style w:type="paragraph" w:customStyle="1" w:styleId="196">
    <w:name w:val="xl49"/>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Arial Unicode MS" w:hAnsi="Arial Unicode MS" w:eastAsia="Arial Unicode MS" w:cs="Arial Unicode MS"/>
      <w:sz w:val="24"/>
      <w:szCs w:val="24"/>
    </w:rPr>
  </w:style>
  <w:style w:type="paragraph" w:customStyle="1" w:styleId="197">
    <w:name w:val="xl27"/>
    <w:basedOn w:val="1"/>
    <w:qFormat/>
    <w:uiPriority w:val="0"/>
    <w:pPr>
      <w:widowControl/>
      <w:pBdr>
        <w:top w:val="dotted" w:color="auto" w:sz="4" w:space="0"/>
        <w:left w:val="dotted" w:color="auto" w:sz="4" w:space="0"/>
        <w:bottom w:val="dotted" w:color="auto" w:sz="4" w:space="0"/>
        <w:right w:val="dotted" w:color="auto" w:sz="4" w:space="0"/>
      </w:pBdr>
      <w:adjustRightInd w:val="0"/>
      <w:spacing w:before="100" w:beforeAutospacing="1" w:after="100" w:afterAutospacing="1" w:line="360" w:lineRule="atLeast"/>
      <w:jc w:val="left"/>
      <w:textAlignment w:val="center"/>
    </w:pPr>
    <w:rPr>
      <w:rFonts w:hAnsi="宋体"/>
      <w:color w:val="000000"/>
      <w:sz w:val="18"/>
      <w:szCs w:val="18"/>
    </w:rPr>
  </w:style>
  <w:style w:type="paragraph" w:customStyle="1" w:styleId="198">
    <w:name w:val="xl52"/>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eastAsia="Arial Unicode MS"/>
      <w:szCs w:val="21"/>
    </w:rPr>
  </w:style>
  <w:style w:type="paragraph" w:customStyle="1" w:styleId="199">
    <w:name w:val="xl97"/>
    <w:basedOn w:val="1"/>
    <w:qFormat/>
    <w:uiPriority w:val="0"/>
    <w:pPr>
      <w:widowControl/>
      <w:pBdr>
        <w:top w:val="single" w:color="auto" w:sz="4" w:space="0"/>
        <w:left w:val="single" w:color="auto" w:sz="4" w:space="0"/>
        <w:bottom w:val="single" w:color="auto" w:sz="8" w:space="0"/>
        <w:right w:val="single" w:color="auto" w:sz="4" w:space="0"/>
      </w:pBdr>
      <w:shd w:val="clear" w:color="auto" w:fill="FFFFFF"/>
      <w:spacing w:before="100" w:beforeAutospacing="1" w:after="100" w:afterAutospacing="1"/>
      <w:jc w:val="right"/>
      <w:textAlignment w:val="center"/>
    </w:pPr>
    <w:rPr>
      <w:rFonts w:ascii="Arial Unicode MS" w:hAnsi="Arial Unicode MS" w:eastAsia="Arial Unicode MS" w:cs="Arial Unicode MS"/>
      <w:b/>
      <w:bCs/>
      <w:sz w:val="24"/>
      <w:szCs w:val="24"/>
    </w:rPr>
  </w:style>
  <w:style w:type="paragraph" w:customStyle="1" w:styleId="200">
    <w:name w:val="xl100"/>
    <w:basedOn w:val="1"/>
    <w:qFormat/>
    <w:uiPriority w:val="0"/>
    <w:pPr>
      <w:widowControl/>
      <w:pBdr>
        <w:top w:val="single" w:color="auto" w:sz="4" w:space="0"/>
        <w:left w:val="single" w:color="auto" w:sz="4" w:space="0"/>
        <w:bottom w:val="single" w:color="auto" w:sz="4" w:space="0"/>
        <w:right w:val="single" w:color="auto" w:sz="8" w:space="0"/>
      </w:pBdr>
      <w:spacing w:before="100" w:beforeAutospacing="1" w:after="100" w:afterAutospacing="1"/>
      <w:jc w:val="right"/>
      <w:textAlignment w:val="center"/>
    </w:pPr>
    <w:rPr>
      <w:rFonts w:ascii="Arial Unicode MS" w:hAnsi="Arial Unicode MS" w:eastAsia="Arial Unicode MS" w:cs="Arial Unicode MS"/>
      <w:color w:val="000000"/>
      <w:sz w:val="24"/>
      <w:szCs w:val="24"/>
    </w:rPr>
  </w:style>
  <w:style w:type="paragraph" w:customStyle="1" w:styleId="201">
    <w:name w:val="xl89"/>
    <w:basedOn w:val="1"/>
    <w:qFormat/>
    <w:uiPriority w:val="0"/>
    <w:pPr>
      <w:widowControl/>
      <w:spacing w:before="100" w:beforeAutospacing="1" w:after="100" w:afterAutospacing="1"/>
      <w:jc w:val="center"/>
      <w:textAlignment w:val="center"/>
    </w:pPr>
    <w:rPr>
      <w:rFonts w:ascii="Arial Unicode MS" w:hAnsi="Arial Unicode MS" w:eastAsia="Arial Unicode MS" w:cs="Arial Unicode MS"/>
      <w:b/>
      <w:bCs/>
      <w:sz w:val="20"/>
    </w:rPr>
  </w:style>
  <w:style w:type="paragraph" w:customStyle="1" w:styleId="202">
    <w:name w:val="xl105"/>
    <w:basedOn w:val="1"/>
    <w:qFormat/>
    <w:uiPriority w:val="0"/>
    <w:pPr>
      <w:widowControl/>
      <w:pBdr>
        <w:bottom w:val="single" w:color="auto" w:sz="4" w:space="0"/>
        <w:right w:val="single" w:color="auto" w:sz="4" w:space="0"/>
      </w:pBdr>
      <w:shd w:val="clear" w:color="auto" w:fill="FFFFFF"/>
      <w:spacing w:before="100" w:beforeAutospacing="1" w:after="100" w:afterAutospacing="1"/>
      <w:jc w:val="center"/>
    </w:pPr>
    <w:rPr>
      <w:rFonts w:ascii="Arial Narrow" w:hAnsi="Arial Narrow" w:cs="宋体"/>
      <w:sz w:val="20"/>
    </w:rPr>
  </w:style>
  <w:style w:type="paragraph" w:customStyle="1" w:styleId="203">
    <w:name w:val="xl26"/>
    <w:basedOn w:val="1"/>
    <w:qFormat/>
    <w:uiPriority w:val="0"/>
    <w:pPr>
      <w:widowControl/>
      <w:pBdr>
        <w:top w:val="dotted" w:color="auto" w:sz="4" w:space="0"/>
        <w:left w:val="dotted" w:color="auto" w:sz="4" w:space="0"/>
        <w:bottom w:val="dotted" w:color="auto" w:sz="4" w:space="0"/>
        <w:right w:val="dotted" w:color="auto" w:sz="4" w:space="0"/>
      </w:pBdr>
      <w:adjustRightInd w:val="0"/>
      <w:spacing w:before="100" w:beforeAutospacing="1" w:after="100" w:afterAutospacing="1" w:line="360" w:lineRule="atLeast"/>
      <w:jc w:val="center"/>
      <w:textAlignment w:val="center"/>
    </w:pPr>
    <w:rPr>
      <w:rFonts w:hAnsi="宋体"/>
      <w:color w:val="000000"/>
      <w:sz w:val="18"/>
      <w:szCs w:val="18"/>
    </w:rPr>
  </w:style>
  <w:style w:type="paragraph" w:customStyle="1" w:styleId="204">
    <w:name w:val="xl70"/>
    <w:basedOn w:val="1"/>
    <w:qFormat/>
    <w:uiPriority w:val="0"/>
    <w:pPr>
      <w:widowControl/>
      <w:pBdr>
        <w:top w:val="single" w:color="auto" w:sz="4" w:space="0"/>
        <w:left w:val="single" w:color="auto" w:sz="4" w:space="0"/>
        <w:bottom w:val="single" w:color="auto" w:sz="4" w:space="0"/>
        <w:right w:val="single" w:color="auto" w:sz="4" w:space="0"/>
      </w:pBdr>
      <w:shd w:val="clear" w:color="auto" w:fill="FFFFFF"/>
      <w:spacing w:before="100" w:beforeAutospacing="1" w:after="100" w:afterAutospacing="1"/>
      <w:jc w:val="center"/>
    </w:pPr>
    <w:rPr>
      <w:rFonts w:ascii="Arial Narrow" w:hAnsi="Arial Narrow" w:cs="宋体"/>
      <w:sz w:val="24"/>
      <w:szCs w:val="24"/>
    </w:rPr>
  </w:style>
  <w:style w:type="paragraph" w:customStyle="1" w:styleId="205">
    <w:name w:val="正文yu Char Char"/>
    <w:basedOn w:val="23"/>
    <w:qFormat/>
    <w:uiPriority w:val="0"/>
    <w:pPr>
      <w:tabs>
        <w:tab w:val="left" w:pos="1390"/>
      </w:tabs>
      <w:spacing w:line="360" w:lineRule="auto"/>
      <w:ind w:firstLine="538" w:firstLineChars="192"/>
      <w:jc w:val="both"/>
    </w:pPr>
    <w:rPr>
      <w:rFonts w:ascii="宋体" w:hAnsi="宋体" w:eastAsia="宋体"/>
      <w:sz w:val="28"/>
      <w:szCs w:val="28"/>
    </w:rPr>
  </w:style>
  <w:style w:type="paragraph" w:customStyle="1" w:styleId="206">
    <w:name w:val="xl32"/>
    <w:basedOn w:val="1"/>
    <w:qFormat/>
    <w:uiPriority w:val="0"/>
    <w:pPr>
      <w:widowControl/>
      <w:pBdr>
        <w:top w:val="single" w:color="auto" w:sz="4" w:space="0"/>
        <w:left w:val="single" w:color="auto" w:sz="4" w:space="0"/>
        <w:bottom w:val="single" w:color="auto" w:sz="4" w:space="0"/>
        <w:right w:val="single" w:color="auto" w:sz="4" w:space="0"/>
      </w:pBdr>
      <w:adjustRightInd w:val="0"/>
      <w:spacing w:before="100" w:beforeAutospacing="1" w:after="100" w:afterAutospacing="1" w:line="360" w:lineRule="atLeast"/>
      <w:jc w:val="left"/>
      <w:textAlignment w:val="baseline"/>
    </w:pPr>
    <w:rPr>
      <w:rFonts w:ascii="Arial Unicode MS" w:hAnsi="Arial Unicode MS" w:eastAsia="Arial Unicode MS" w:cs="楷体_GB2312"/>
      <w:sz w:val="22"/>
      <w:szCs w:val="22"/>
    </w:rPr>
  </w:style>
  <w:style w:type="paragraph" w:customStyle="1" w:styleId="207">
    <w:name w:val="ZW"/>
    <w:basedOn w:val="1"/>
    <w:qFormat/>
    <w:uiPriority w:val="0"/>
    <w:pPr>
      <w:adjustRightInd w:val="0"/>
      <w:spacing w:line="440" w:lineRule="atLeast"/>
      <w:ind w:firstLine="601"/>
      <w:textAlignment w:val="baseline"/>
    </w:pPr>
    <w:rPr>
      <w:rFonts w:ascii="Arial Narrow" w:eastAsia="昆仑楷体"/>
      <w:sz w:val="28"/>
    </w:rPr>
  </w:style>
  <w:style w:type="paragraph" w:customStyle="1" w:styleId="208">
    <w:name w:val="封面4"/>
    <w:qFormat/>
    <w:uiPriority w:val="0"/>
    <w:pPr>
      <w:widowControl w:val="0"/>
      <w:adjustRightInd w:val="0"/>
      <w:spacing w:line="312" w:lineRule="atLeast"/>
      <w:jc w:val="center"/>
      <w:textAlignment w:val="baseline"/>
    </w:pPr>
    <w:rPr>
      <w:rFonts w:ascii="宋体" w:hAnsi="Times New Roman" w:eastAsia="宋体" w:cs="Times New Roman"/>
      <w:sz w:val="21"/>
      <w:szCs w:val="21"/>
      <w:lang w:val="en-US" w:eastAsia="zh-CN" w:bidi="ar-SA"/>
    </w:rPr>
  </w:style>
  <w:style w:type="paragraph" w:customStyle="1" w:styleId="209">
    <w:name w:val="font0"/>
    <w:basedOn w:val="1"/>
    <w:qFormat/>
    <w:uiPriority w:val="0"/>
    <w:pPr>
      <w:widowControl/>
      <w:adjustRightInd w:val="0"/>
      <w:spacing w:before="100" w:beforeAutospacing="1" w:after="100" w:afterAutospacing="1" w:line="360" w:lineRule="atLeast"/>
      <w:jc w:val="left"/>
      <w:textAlignment w:val="baseline"/>
    </w:pPr>
    <w:rPr>
      <w:rFonts w:hint="eastAsia" w:hAnsi="宋体" w:cs="楷体_GB2312"/>
      <w:sz w:val="24"/>
      <w:szCs w:val="24"/>
    </w:rPr>
  </w:style>
  <w:style w:type="paragraph" w:customStyle="1" w:styleId="210">
    <w:name w:val="xl114"/>
    <w:basedOn w:val="1"/>
    <w:qFormat/>
    <w:uiPriority w:val="0"/>
    <w:pPr>
      <w:widowControl/>
      <w:pBdr>
        <w:top w:val="single" w:color="auto" w:sz="4" w:space="0"/>
        <w:left w:val="single" w:color="auto" w:sz="4" w:space="0"/>
        <w:bottom w:val="single" w:color="auto" w:sz="8" w:space="0"/>
        <w:right w:val="single" w:color="auto" w:sz="4" w:space="0"/>
      </w:pBdr>
      <w:shd w:val="clear" w:color="auto" w:fill="FFFFFF"/>
      <w:spacing w:before="100" w:beforeAutospacing="1" w:after="100" w:afterAutospacing="1"/>
      <w:jc w:val="center"/>
    </w:pPr>
    <w:rPr>
      <w:rFonts w:ascii="Arial Narrow" w:hAnsi="Arial Narrow" w:cs="宋体"/>
      <w:sz w:val="20"/>
    </w:rPr>
  </w:style>
  <w:style w:type="paragraph" w:customStyle="1" w:styleId="211">
    <w:name w:val="xl80"/>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textAlignment w:val="bottom"/>
    </w:pPr>
    <w:rPr>
      <w:rFonts w:eastAsia="Arial Unicode MS"/>
      <w:sz w:val="20"/>
    </w:rPr>
  </w:style>
  <w:style w:type="paragraph" w:customStyle="1" w:styleId="212">
    <w:name w:val="xl74"/>
    <w:basedOn w:val="1"/>
    <w:qFormat/>
    <w:uiPriority w:val="0"/>
    <w:pPr>
      <w:widowControl/>
      <w:pBdr>
        <w:top w:val="single" w:color="auto" w:sz="4" w:space="0"/>
        <w:left w:val="single" w:color="auto" w:sz="4" w:space="0"/>
        <w:bottom w:val="single" w:color="auto" w:sz="8" w:space="0"/>
        <w:right w:val="single" w:color="auto" w:sz="4" w:space="0"/>
      </w:pBdr>
      <w:shd w:val="clear" w:color="auto" w:fill="FFFFFF"/>
      <w:spacing w:before="100" w:beforeAutospacing="1" w:after="100" w:afterAutospacing="1"/>
      <w:jc w:val="left"/>
      <w:textAlignment w:val="bottom"/>
    </w:pPr>
    <w:rPr>
      <w:rFonts w:ascii="Arial Narrow" w:hAnsi="Arial Narrow" w:cs="宋体"/>
      <w:sz w:val="20"/>
    </w:rPr>
  </w:style>
  <w:style w:type="paragraph" w:customStyle="1" w:styleId="213">
    <w:name w:val="表格标题"/>
    <w:basedOn w:val="1"/>
    <w:next w:val="159"/>
    <w:qFormat/>
    <w:uiPriority w:val="0"/>
    <w:pPr>
      <w:keepNext/>
      <w:widowControl/>
      <w:overflowPunct w:val="0"/>
      <w:adjustRightInd w:val="0"/>
      <w:snapToGrid w:val="0"/>
      <w:spacing w:before="360" w:after="120" w:line="400" w:lineRule="exact"/>
      <w:jc w:val="center"/>
      <w:textAlignment w:val="baseline"/>
    </w:pPr>
    <w:rPr>
      <w:rFonts w:ascii="Arial" w:hAnsi="Arial" w:eastAsia="黑体"/>
      <w:b/>
    </w:rPr>
  </w:style>
  <w:style w:type="paragraph" w:customStyle="1" w:styleId="214">
    <w:name w:val="xl86"/>
    <w:basedOn w:val="1"/>
    <w:qFormat/>
    <w:uiPriority w:val="0"/>
    <w:pPr>
      <w:widowControl/>
      <w:pBdr>
        <w:top w:val="single" w:color="auto" w:sz="8" w:space="0"/>
        <w:left w:val="single" w:color="auto" w:sz="4" w:space="0"/>
        <w:right w:val="single" w:color="auto" w:sz="4" w:space="0"/>
      </w:pBdr>
      <w:shd w:val="clear" w:color="auto" w:fill="FFFFFF"/>
      <w:spacing w:before="100" w:beforeAutospacing="1" w:after="100" w:afterAutospacing="1"/>
      <w:jc w:val="center"/>
    </w:pPr>
    <w:rPr>
      <w:rFonts w:hAnsi="宋体" w:cs="宋体"/>
      <w:sz w:val="20"/>
    </w:rPr>
  </w:style>
  <w:style w:type="paragraph" w:customStyle="1" w:styleId="215">
    <w:name w:val="Char1 Char Char Char Char Char Char1"/>
    <w:basedOn w:val="1"/>
    <w:qFormat/>
    <w:uiPriority w:val="0"/>
    <w:pPr>
      <w:spacing w:line="360" w:lineRule="auto"/>
      <w:ind w:firstLine="200" w:firstLineChars="200"/>
    </w:pPr>
    <w:rPr>
      <w:rFonts w:hAnsi="宋体" w:cs="宋体"/>
      <w:sz w:val="24"/>
      <w:szCs w:val="24"/>
    </w:rPr>
  </w:style>
  <w:style w:type="paragraph" w:customStyle="1" w:styleId="216">
    <w:name w:val="Char Char Char"/>
    <w:basedOn w:val="1"/>
    <w:qFormat/>
    <w:uiPriority w:val="0"/>
    <w:pPr>
      <w:widowControl/>
      <w:spacing w:after="160" w:line="240" w:lineRule="exact"/>
      <w:jc w:val="left"/>
    </w:pPr>
    <w:rPr>
      <w:rFonts w:ascii="Verdana" w:hAnsi="Verdana"/>
      <w:sz w:val="20"/>
      <w:lang w:eastAsia="en-US"/>
    </w:rPr>
  </w:style>
  <w:style w:type="paragraph" w:customStyle="1" w:styleId="217">
    <w:name w:val="xl38"/>
    <w:basedOn w:val="1"/>
    <w:qFormat/>
    <w:uiPriority w:val="0"/>
    <w:pPr>
      <w:widowControl/>
      <w:pBdr>
        <w:top w:val="single" w:color="auto" w:sz="4" w:space="0"/>
        <w:left w:val="single" w:color="auto" w:sz="4" w:space="0"/>
        <w:bottom w:val="single" w:color="auto" w:sz="4" w:space="0"/>
        <w:right w:val="single" w:color="auto" w:sz="4" w:space="0"/>
      </w:pBdr>
      <w:adjustRightInd w:val="0"/>
      <w:spacing w:before="100" w:beforeAutospacing="1" w:after="100" w:afterAutospacing="1" w:line="360" w:lineRule="atLeast"/>
      <w:jc w:val="left"/>
      <w:textAlignment w:val="baseline"/>
    </w:pPr>
    <w:rPr>
      <w:rFonts w:ascii="Arial Narrow" w:hAnsi="Arial Narrow" w:eastAsia="Arial Unicode MS" w:cs="楷体_GB2312"/>
      <w:sz w:val="22"/>
      <w:szCs w:val="22"/>
    </w:rPr>
  </w:style>
  <w:style w:type="paragraph" w:customStyle="1" w:styleId="218">
    <w:name w:val="正文文本 21"/>
    <w:basedOn w:val="1"/>
    <w:qFormat/>
    <w:uiPriority w:val="0"/>
    <w:pPr>
      <w:adjustRightInd w:val="0"/>
      <w:spacing w:line="312" w:lineRule="atLeast"/>
      <w:ind w:firstLine="540"/>
      <w:textAlignment w:val="baseline"/>
    </w:pPr>
    <w:rPr>
      <w:rFonts w:eastAsia="仿宋_GB2312"/>
      <w:sz w:val="28"/>
    </w:rPr>
  </w:style>
  <w:style w:type="paragraph" w:customStyle="1" w:styleId="219">
    <w:name w:val="H2"/>
    <w:basedOn w:val="1"/>
    <w:qFormat/>
    <w:uiPriority w:val="0"/>
    <w:pPr>
      <w:widowControl/>
      <w:adjustRightInd w:val="0"/>
      <w:spacing w:before="240" w:after="240" w:line="360" w:lineRule="atLeast"/>
      <w:ind w:right="28"/>
      <w:textAlignment w:val="baseline"/>
    </w:pPr>
    <w:rPr>
      <w:rFonts w:ascii="仿宋_GB2312" w:eastAsia="仿宋_GB2312"/>
      <w:b/>
      <w:sz w:val="28"/>
    </w:rPr>
  </w:style>
  <w:style w:type="paragraph" w:customStyle="1" w:styleId="220">
    <w:name w:val="xl30"/>
    <w:basedOn w:val="1"/>
    <w:qFormat/>
    <w:uiPriority w:val="0"/>
    <w:pPr>
      <w:widowControl/>
      <w:pBdr>
        <w:top w:val="single" w:color="auto" w:sz="4" w:space="0"/>
        <w:left w:val="single" w:color="auto" w:sz="4" w:space="0"/>
        <w:bottom w:val="single" w:color="auto" w:sz="4" w:space="0"/>
        <w:right w:val="single" w:color="auto" w:sz="4" w:space="0"/>
      </w:pBdr>
      <w:adjustRightInd w:val="0"/>
      <w:spacing w:before="100" w:beforeAutospacing="1" w:after="100" w:afterAutospacing="1" w:line="360" w:lineRule="atLeast"/>
      <w:jc w:val="left"/>
      <w:textAlignment w:val="baseline"/>
    </w:pPr>
    <w:rPr>
      <w:rFonts w:ascii="Arial Narrow" w:hAnsi="Arial Narrow" w:eastAsia="Arial Unicode MS" w:cs="楷体_GB2312"/>
      <w:sz w:val="22"/>
      <w:szCs w:val="22"/>
    </w:rPr>
  </w:style>
  <w:style w:type="paragraph" w:customStyle="1" w:styleId="221">
    <w:name w:val="xl98"/>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right"/>
      <w:textAlignment w:val="center"/>
    </w:pPr>
    <w:rPr>
      <w:rFonts w:ascii="Arial Unicode MS" w:hAnsi="Arial Unicode MS" w:eastAsia="Arial Unicode MS" w:cs="Arial Unicode MS"/>
      <w:color w:val="000000"/>
      <w:sz w:val="24"/>
      <w:szCs w:val="24"/>
    </w:rPr>
  </w:style>
  <w:style w:type="paragraph" w:customStyle="1" w:styleId="222">
    <w:name w:val="Enclosure"/>
    <w:basedOn w:val="24"/>
    <w:next w:val="1"/>
    <w:qFormat/>
    <w:uiPriority w:val="0"/>
    <w:pPr>
      <w:keepNext/>
      <w:keepLines/>
      <w:widowControl/>
      <w:overflowPunct w:val="0"/>
      <w:autoSpaceDE w:val="0"/>
      <w:autoSpaceDN w:val="0"/>
      <w:spacing w:after="240" w:line="240" w:lineRule="atLeast"/>
    </w:pPr>
    <w:rPr>
      <w:rFonts w:ascii="Garamond" w:hAnsi="Garamond" w:eastAsia="仿宋_GB2312"/>
      <w:kern w:val="18"/>
      <w:sz w:val="28"/>
    </w:rPr>
  </w:style>
  <w:style w:type="paragraph" w:customStyle="1" w:styleId="223">
    <w:name w:val="MM Topic 3"/>
    <w:basedOn w:val="5"/>
    <w:qFormat/>
    <w:uiPriority w:val="0"/>
    <w:pPr>
      <w:autoSpaceDE w:val="0"/>
      <w:autoSpaceDN w:val="0"/>
      <w:snapToGrid w:val="0"/>
      <w:spacing w:before="60" w:after="60" w:line="240" w:lineRule="auto"/>
      <w:ind w:firstLine="221" w:firstLineChars="221"/>
    </w:pPr>
    <w:rPr>
      <w:rFonts w:ascii="仿宋_GB2312" w:hAnsi="Arial Narrow" w:eastAsia="仿宋_GB2312"/>
      <w:bCs w:val="0"/>
      <w:kern w:val="0"/>
      <w:sz w:val="24"/>
      <w:szCs w:val="24"/>
    </w:rPr>
  </w:style>
  <w:style w:type="paragraph" w:customStyle="1" w:styleId="224">
    <w:name w:val="表"/>
    <w:next w:val="1"/>
    <w:link w:val="314"/>
    <w:qFormat/>
    <w:uiPriority w:val="0"/>
    <w:pPr>
      <w:pBdr>
        <w:between w:val="dashSmallGap" w:color="666699" w:sz="4" w:space="1"/>
      </w:pBdr>
      <w:adjustRightInd w:val="0"/>
      <w:snapToGrid w:val="0"/>
      <w:spacing w:after="120"/>
      <w:jc w:val="both"/>
      <w:textAlignment w:val="center"/>
    </w:pPr>
    <w:rPr>
      <w:rFonts w:ascii="仿宋_GB2312" w:hAnsi="华文细黑" w:eastAsia="仿宋_GB2312" w:cs="Times New Roman"/>
      <w:kern w:val="2"/>
      <w:sz w:val="21"/>
      <w:lang w:val="en-US" w:eastAsia="zh-CN" w:bidi="ar-SA"/>
    </w:rPr>
  </w:style>
  <w:style w:type="paragraph" w:customStyle="1" w:styleId="225">
    <w:name w:val="xl94"/>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right"/>
    </w:pPr>
    <w:rPr>
      <w:rFonts w:ascii="Arial Narrow" w:hAnsi="Arial Narrow" w:cs="宋体"/>
      <w:sz w:val="16"/>
      <w:szCs w:val="16"/>
    </w:rPr>
  </w:style>
  <w:style w:type="paragraph" w:customStyle="1" w:styleId="226">
    <w:name w:val="中伦正文"/>
    <w:basedOn w:val="1"/>
    <w:link w:val="320"/>
    <w:qFormat/>
    <w:uiPriority w:val="0"/>
    <w:pPr>
      <w:spacing w:beforeLines="50" w:afterLines="50" w:line="360" w:lineRule="auto"/>
      <w:ind w:firstLine="480" w:firstLineChars="200"/>
    </w:pPr>
    <w:rPr>
      <w:rFonts w:ascii="Times New Roman"/>
      <w:kern w:val="2"/>
      <w:sz w:val="24"/>
      <w:szCs w:val="24"/>
      <w:lang w:eastAsia="en-US"/>
    </w:rPr>
  </w:style>
  <w:style w:type="paragraph" w:customStyle="1" w:styleId="227">
    <w:name w:val="xl60"/>
    <w:basedOn w:val="1"/>
    <w:qFormat/>
    <w:uiPriority w:val="0"/>
    <w:pPr>
      <w:widowControl/>
      <w:pBdr>
        <w:top w:val="single" w:color="auto" w:sz="4" w:space="0"/>
        <w:left w:val="single" w:color="auto" w:sz="4" w:space="0"/>
        <w:bottom w:val="single" w:color="auto" w:sz="4" w:space="0"/>
        <w:right w:val="single" w:color="auto" w:sz="4" w:space="0"/>
      </w:pBdr>
      <w:shd w:val="clear" w:color="auto" w:fill="FFFF00"/>
      <w:spacing w:before="100" w:beforeAutospacing="1" w:after="100" w:afterAutospacing="1"/>
      <w:jc w:val="left"/>
    </w:pPr>
    <w:rPr>
      <w:rFonts w:ascii="Arial Unicode MS" w:hAnsi="Arial Unicode MS" w:eastAsia="Arial Unicode MS" w:cs="Arial Unicode MS"/>
      <w:sz w:val="24"/>
      <w:szCs w:val="24"/>
    </w:rPr>
  </w:style>
  <w:style w:type="paragraph" w:customStyle="1" w:styleId="228">
    <w:name w:val="附注二级"/>
    <w:basedOn w:val="1"/>
    <w:qFormat/>
    <w:uiPriority w:val="0"/>
    <w:pPr>
      <w:tabs>
        <w:tab w:val="left" w:pos="714"/>
      </w:tabs>
      <w:adjustRightInd w:val="0"/>
      <w:snapToGrid w:val="0"/>
      <w:spacing w:line="400" w:lineRule="atLeast"/>
      <w:ind w:left="756" w:hanging="770"/>
      <w:outlineLvl w:val="0"/>
    </w:pPr>
    <w:rPr>
      <w:rFonts w:hAnsi="宋体"/>
      <w:b/>
      <w:kern w:val="2"/>
      <w:sz w:val="21"/>
      <w:szCs w:val="21"/>
    </w:rPr>
  </w:style>
  <w:style w:type="paragraph" w:customStyle="1" w:styleId="229">
    <w:name w:val="xl112"/>
    <w:basedOn w:val="1"/>
    <w:qFormat/>
    <w:uiPriority w:val="0"/>
    <w:pPr>
      <w:widowControl/>
      <w:pBdr>
        <w:bottom w:val="single" w:color="auto" w:sz="4" w:space="0"/>
        <w:right w:val="single" w:color="auto" w:sz="4" w:space="0"/>
      </w:pBdr>
      <w:spacing w:before="100" w:beforeAutospacing="1" w:after="100" w:afterAutospacing="1"/>
      <w:jc w:val="center"/>
    </w:pPr>
    <w:rPr>
      <w:rFonts w:ascii="Arial Unicode MS" w:hAnsi="Arial Unicode MS" w:eastAsia="Arial Unicode MS" w:cs="Arial Unicode MS"/>
      <w:sz w:val="20"/>
    </w:rPr>
  </w:style>
  <w:style w:type="paragraph" w:customStyle="1" w:styleId="230">
    <w:name w:val="zw"/>
    <w:basedOn w:val="1"/>
    <w:link w:val="296"/>
    <w:qFormat/>
    <w:uiPriority w:val="0"/>
    <w:pPr>
      <w:adjustRightInd w:val="0"/>
      <w:spacing w:line="360" w:lineRule="auto"/>
      <w:ind w:firstLine="482"/>
      <w:textAlignment w:val="baseline"/>
    </w:pPr>
    <w:rPr>
      <w:rFonts w:ascii="Arial Narrow" w:hAnsi="Arial Narrow" w:eastAsia="仿宋_GB2312"/>
      <w:sz w:val="24"/>
    </w:rPr>
  </w:style>
  <w:style w:type="paragraph" w:customStyle="1" w:styleId="231">
    <w:name w:val="xl111"/>
    <w:basedOn w:val="1"/>
    <w:qFormat/>
    <w:uiPriority w:val="0"/>
    <w:pPr>
      <w:widowControl/>
      <w:pBdr>
        <w:top w:val="single" w:color="auto" w:sz="4" w:space="0"/>
        <w:bottom w:val="single" w:color="auto" w:sz="4" w:space="0"/>
        <w:right w:val="single" w:color="auto" w:sz="4" w:space="0"/>
      </w:pBdr>
      <w:spacing w:before="100" w:beforeAutospacing="1" w:after="100" w:afterAutospacing="1"/>
      <w:jc w:val="left"/>
    </w:pPr>
    <w:rPr>
      <w:rFonts w:hAnsi="宋体" w:cs="宋体"/>
      <w:sz w:val="24"/>
      <w:szCs w:val="24"/>
    </w:rPr>
  </w:style>
  <w:style w:type="paragraph" w:customStyle="1" w:styleId="232">
    <w:name w:val="font12"/>
    <w:basedOn w:val="1"/>
    <w:qFormat/>
    <w:uiPriority w:val="0"/>
    <w:pPr>
      <w:widowControl/>
      <w:adjustRightInd w:val="0"/>
      <w:spacing w:before="100" w:after="100" w:line="360" w:lineRule="atLeast"/>
      <w:jc w:val="left"/>
      <w:textAlignment w:val="baseline"/>
    </w:pPr>
    <w:rPr>
      <w:b/>
      <w:color w:val="000000"/>
      <w:sz w:val="18"/>
    </w:rPr>
  </w:style>
  <w:style w:type="paragraph" w:customStyle="1" w:styleId="233">
    <w:name w:val="xl106"/>
    <w:basedOn w:val="1"/>
    <w:qFormat/>
    <w:uiPriority w:val="0"/>
    <w:pPr>
      <w:widowControl/>
      <w:pBdr>
        <w:top w:val="single" w:color="auto" w:sz="4" w:space="0"/>
        <w:left w:val="single" w:color="auto" w:sz="4" w:space="0"/>
        <w:bottom w:val="single" w:color="auto" w:sz="4" w:space="0"/>
        <w:right w:val="single" w:color="auto" w:sz="4" w:space="0"/>
      </w:pBdr>
      <w:shd w:val="clear" w:color="auto" w:fill="FFFFFF"/>
      <w:spacing w:before="100" w:beforeAutospacing="1" w:after="100" w:afterAutospacing="1"/>
      <w:jc w:val="center"/>
    </w:pPr>
    <w:rPr>
      <w:rFonts w:hAnsi="宋体" w:cs="宋体"/>
      <w:sz w:val="20"/>
    </w:rPr>
  </w:style>
  <w:style w:type="paragraph" w:customStyle="1" w:styleId="234">
    <w:name w:val="xl50"/>
    <w:basedOn w:val="1"/>
    <w:qFormat/>
    <w:uiPriority w:val="0"/>
    <w:pPr>
      <w:widowControl/>
      <w:pBdr>
        <w:top w:val="single" w:color="auto" w:sz="4" w:space="0"/>
        <w:left w:val="single" w:color="auto" w:sz="4" w:space="0"/>
        <w:bottom w:val="single" w:color="auto" w:sz="4" w:space="0"/>
        <w:right w:val="single" w:color="auto" w:sz="4" w:space="0"/>
      </w:pBdr>
      <w:shd w:val="clear" w:color="auto" w:fill="FFFF00"/>
      <w:spacing w:before="100" w:beforeAutospacing="1" w:after="100" w:afterAutospacing="1"/>
      <w:jc w:val="left"/>
    </w:pPr>
    <w:rPr>
      <w:rFonts w:ascii="Arial Unicode MS" w:hAnsi="Arial Unicode MS" w:eastAsia="Arial Unicode MS" w:cs="Arial Unicode MS"/>
      <w:sz w:val="20"/>
    </w:rPr>
  </w:style>
  <w:style w:type="paragraph" w:customStyle="1" w:styleId="235">
    <w:name w:val="xl109"/>
    <w:basedOn w:val="1"/>
    <w:qFormat/>
    <w:uiPriority w:val="0"/>
    <w:pPr>
      <w:widowControl/>
      <w:pBdr>
        <w:bottom w:val="single" w:color="auto" w:sz="4" w:space="0"/>
        <w:right w:val="single" w:color="auto" w:sz="8" w:space="0"/>
      </w:pBdr>
      <w:shd w:val="clear" w:color="auto" w:fill="FFFFFF"/>
      <w:spacing w:before="100" w:beforeAutospacing="1" w:after="100" w:afterAutospacing="1"/>
      <w:jc w:val="center"/>
    </w:pPr>
    <w:rPr>
      <w:rFonts w:hAnsi="宋体" w:cs="宋体"/>
      <w:sz w:val="20"/>
    </w:rPr>
  </w:style>
  <w:style w:type="paragraph" w:customStyle="1" w:styleId="236">
    <w:name w:val="xl103"/>
    <w:basedOn w:val="1"/>
    <w:qFormat/>
    <w:uiPriority w:val="0"/>
    <w:pPr>
      <w:widowControl/>
      <w:pBdr>
        <w:left w:val="single" w:color="auto" w:sz="4" w:space="0"/>
        <w:bottom w:val="single" w:color="auto" w:sz="4" w:space="0"/>
      </w:pBdr>
      <w:shd w:val="clear" w:color="auto" w:fill="FFFFFF"/>
      <w:spacing w:before="100" w:beforeAutospacing="1" w:after="100" w:afterAutospacing="1"/>
      <w:jc w:val="center"/>
    </w:pPr>
    <w:rPr>
      <w:rFonts w:ascii="Arial Narrow" w:hAnsi="Arial Narrow" w:cs="宋体"/>
      <w:sz w:val="20"/>
    </w:rPr>
  </w:style>
  <w:style w:type="paragraph" w:customStyle="1" w:styleId="237">
    <w:name w:val="xl107"/>
    <w:basedOn w:val="1"/>
    <w:qFormat/>
    <w:uiPriority w:val="0"/>
    <w:pPr>
      <w:widowControl/>
      <w:pBdr>
        <w:bottom w:val="single" w:color="auto" w:sz="4" w:space="0"/>
        <w:right w:val="single" w:color="auto" w:sz="4" w:space="0"/>
      </w:pBdr>
      <w:shd w:val="clear" w:color="auto" w:fill="FFFFFF"/>
      <w:spacing w:before="100" w:beforeAutospacing="1" w:after="100" w:afterAutospacing="1"/>
      <w:jc w:val="center"/>
    </w:pPr>
    <w:rPr>
      <w:rFonts w:hAnsi="宋体" w:cs="宋体"/>
      <w:sz w:val="20"/>
    </w:rPr>
  </w:style>
  <w:style w:type="paragraph" w:customStyle="1" w:styleId="238">
    <w:name w:val="Char Char Char1"/>
    <w:basedOn w:val="1"/>
    <w:qFormat/>
    <w:uiPriority w:val="0"/>
    <w:pPr>
      <w:widowControl/>
      <w:spacing w:after="160" w:line="240" w:lineRule="exact"/>
      <w:jc w:val="left"/>
    </w:pPr>
    <w:rPr>
      <w:rFonts w:ascii="Verdana" w:hAnsi="Verdana"/>
      <w:sz w:val="20"/>
      <w:lang w:eastAsia="en-US"/>
    </w:rPr>
  </w:style>
  <w:style w:type="paragraph" w:customStyle="1" w:styleId="239">
    <w:name w:val="xl29"/>
    <w:basedOn w:val="1"/>
    <w:qFormat/>
    <w:uiPriority w:val="0"/>
    <w:pPr>
      <w:widowControl/>
      <w:pBdr>
        <w:top w:val="dotted" w:color="auto" w:sz="4" w:space="0"/>
        <w:left w:val="dotted" w:color="auto" w:sz="4" w:space="0"/>
        <w:bottom w:val="dotted" w:color="auto" w:sz="4" w:space="0"/>
        <w:right w:val="dotted" w:color="auto" w:sz="4" w:space="0"/>
      </w:pBdr>
      <w:adjustRightInd w:val="0"/>
      <w:spacing w:before="100" w:beforeAutospacing="1" w:after="100" w:afterAutospacing="1" w:line="360" w:lineRule="atLeast"/>
      <w:jc w:val="center"/>
      <w:textAlignment w:val="center"/>
    </w:pPr>
    <w:rPr>
      <w:rFonts w:hAnsi="宋体"/>
      <w:color w:val="000000"/>
      <w:sz w:val="18"/>
      <w:szCs w:val="18"/>
    </w:rPr>
  </w:style>
  <w:style w:type="paragraph" w:customStyle="1" w:styleId="240">
    <w:name w:val="xl43"/>
    <w:basedOn w:val="1"/>
    <w:qFormat/>
    <w:uiPriority w:val="0"/>
    <w:pPr>
      <w:widowControl/>
      <w:pBdr>
        <w:top w:val="single" w:color="auto" w:sz="4" w:space="0"/>
        <w:left w:val="single" w:color="auto" w:sz="4" w:space="0"/>
        <w:bottom w:val="single" w:color="auto" w:sz="4" w:space="0"/>
        <w:right w:val="single" w:color="auto" w:sz="4" w:space="0"/>
      </w:pBdr>
      <w:adjustRightInd w:val="0"/>
      <w:spacing w:before="100" w:beforeAutospacing="1" w:after="100" w:afterAutospacing="1" w:line="360" w:lineRule="atLeast"/>
      <w:jc w:val="left"/>
      <w:textAlignment w:val="baseline"/>
    </w:pPr>
    <w:rPr>
      <w:rFonts w:ascii="Arial Unicode MS" w:hAnsi="Arial Unicode MS" w:eastAsia="Arial Unicode MS" w:cs="楷体_GB2312"/>
      <w:sz w:val="12"/>
      <w:szCs w:val="12"/>
    </w:rPr>
  </w:style>
  <w:style w:type="paragraph" w:customStyle="1" w:styleId="241">
    <w:name w:val="样式5"/>
    <w:basedOn w:val="1"/>
    <w:qFormat/>
    <w:uiPriority w:val="0"/>
    <w:pPr>
      <w:autoSpaceDE w:val="0"/>
      <w:autoSpaceDN w:val="0"/>
      <w:adjustRightInd w:val="0"/>
      <w:spacing w:line="400" w:lineRule="exact"/>
      <w:jc w:val="center"/>
      <w:outlineLvl w:val="3"/>
    </w:pPr>
    <w:rPr>
      <w:b/>
      <w:sz w:val="24"/>
      <w:szCs w:val="24"/>
    </w:rPr>
  </w:style>
  <w:style w:type="paragraph" w:customStyle="1" w:styleId="242">
    <w:name w:val="日期2"/>
    <w:basedOn w:val="1"/>
    <w:next w:val="1"/>
    <w:qFormat/>
    <w:uiPriority w:val="0"/>
    <w:pPr>
      <w:adjustRightInd w:val="0"/>
      <w:textAlignment w:val="baseline"/>
    </w:pPr>
    <w:rPr>
      <w:sz w:val="24"/>
    </w:rPr>
  </w:style>
  <w:style w:type="paragraph" w:customStyle="1" w:styleId="243">
    <w:name w:val="font10"/>
    <w:basedOn w:val="1"/>
    <w:qFormat/>
    <w:uiPriority w:val="0"/>
    <w:pPr>
      <w:widowControl/>
      <w:adjustRightInd w:val="0"/>
      <w:spacing w:before="100" w:beforeAutospacing="1" w:after="100" w:afterAutospacing="1" w:line="360" w:lineRule="atLeast"/>
      <w:jc w:val="left"/>
      <w:textAlignment w:val="baseline"/>
    </w:pPr>
    <w:rPr>
      <w:sz w:val="20"/>
    </w:rPr>
  </w:style>
  <w:style w:type="paragraph" w:customStyle="1" w:styleId="244">
    <w:name w:val="3"/>
    <w:basedOn w:val="1"/>
    <w:next w:val="25"/>
    <w:qFormat/>
    <w:uiPriority w:val="0"/>
    <w:pPr>
      <w:adjustRightInd w:val="0"/>
      <w:spacing w:line="360" w:lineRule="auto"/>
      <w:ind w:firstLine="420"/>
      <w:textAlignment w:val="baseline"/>
    </w:pPr>
    <w:rPr>
      <w:rFonts w:ascii="楷体_GB2312" w:eastAsia="楷体_GB2312"/>
    </w:rPr>
  </w:style>
  <w:style w:type="paragraph" w:customStyle="1" w:styleId="245">
    <w:name w:val="杨"/>
    <w:basedOn w:val="230"/>
    <w:qFormat/>
    <w:uiPriority w:val="0"/>
    <w:pPr>
      <w:spacing w:before="60" w:after="60" w:line="380" w:lineRule="atLeast"/>
    </w:pPr>
    <w:rPr>
      <w:rFonts w:eastAsia="宋体"/>
    </w:rPr>
  </w:style>
  <w:style w:type="paragraph" w:customStyle="1" w:styleId="246">
    <w:name w:val="xl42"/>
    <w:basedOn w:val="1"/>
    <w:qFormat/>
    <w:uiPriority w:val="0"/>
    <w:pPr>
      <w:widowControl/>
      <w:pBdr>
        <w:top w:val="single" w:color="auto" w:sz="4" w:space="0"/>
        <w:left w:val="single" w:color="auto" w:sz="4" w:space="0"/>
        <w:bottom w:val="single" w:color="auto" w:sz="4" w:space="0"/>
        <w:right w:val="single" w:color="auto" w:sz="4" w:space="0"/>
      </w:pBdr>
      <w:adjustRightInd w:val="0"/>
      <w:spacing w:before="100" w:beforeAutospacing="1" w:after="100" w:afterAutospacing="1" w:line="360" w:lineRule="atLeast"/>
      <w:jc w:val="center"/>
      <w:textAlignment w:val="baseline"/>
    </w:pPr>
    <w:rPr>
      <w:rFonts w:ascii="Arial Narrow" w:hAnsi="Arial Narrow" w:eastAsia="Arial Unicode MS" w:cs="楷体_GB2312"/>
      <w:sz w:val="12"/>
      <w:szCs w:val="12"/>
    </w:rPr>
  </w:style>
  <w:style w:type="paragraph" w:customStyle="1" w:styleId="247">
    <w:name w:val="简单回函地址"/>
    <w:basedOn w:val="1"/>
    <w:qFormat/>
    <w:uiPriority w:val="0"/>
    <w:rPr>
      <w:szCs w:val="24"/>
    </w:rPr>
  </w:style>
  <w:style w:type="paragraph" w:customStyle="1" w:styleId="248">
    <w:name w:val="xl41"/>
    <w:basedOn w:val="1"/>
    <w:uiPriority w:val="0"/>
    <w:pPr>
      <w:widowControl/>
      <w:adjustRightInd w:val="0"/>
      <w:spacing w:before="100" w:beforeAutospacing="1" w:after="100" w:afterAutospacing="1" w:line="360" w:lineRule="atLeast"/>
      <w:jc w:val="center"/>
      <w:textAlignment w:val="baseline"/>
    </w:pPr>
    <w:rPr>
      <w:rFonts w:hint="eastAsia" w:ascii="仿宋_GB2312" w:hAnsi="Arial Unicode MS" w:eastAsia="仿宋_GB2312" w:cs="楷体_GB2312"/>
      <w:sz w:val="18"/>
      <w:szCs w:val="18"/>
    </w:rPr>
  </w:style>
  <w:style w:type="paragraph" w:customStyle="1" w:styleId="249">
    <w:name w:val="form"/>
    <w:basedOn w:val="1"/>
    <w:uiPriority w:val="0"/>
    <w:pPr>
      <w:widowControl/>
      <w:spacing w:before="100" w:beforeAutospacing="1" w:after="100" w:afterAutospacing="1" w:line="400" w:lineRule="atLeast"/>
      <w:ind w:firstLine="400"/>
      <w:jc w:val="left"/>
    </w:pPr>
    <w:rPr>
      <w:rFonts w:hAnsi="宋体"/>
      <w:szCs w:val="21"/>
    </w:rPr>
  </w:style>
  <w:style w:type="paragraph" w:customStyle="1" w:styleId="250">
    <w:name w:val="默认段落字体 Para Char"/>
    <w:basedOn w:val="1"/>
    <w:uiPriority w:val="0"/>
  </w:style>
  <w:style w:type="paragraph" w:customStyle="1" w:styleId="251">
    <w:name w:val="表格文字"/>
    <w:basedOn w:val="1"/>
    <w:uiPriority w:val="0"/>
    <w:pPr>
      <w:snapToGrid w:val="0"/>
      <w:ind w:left="-6" w:right="-108"/>
    </w:pPr>
    <w:rPr>
      <w:sz w:val="18"/>
    </w:rPr>
  </w:style>
  <w:style w:type="paragraph" w:customStyle="1" w:styleId="252">
    <w:name w:val="xl81"/>
    <w:basedOn w:val="1"/>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textAlignment w:val="bottom"/>
    </w:pPr>
    <w:rPr>
      <w:rFonts w:ascii="Arial Narrow" w:hAnsi="Arial Narrow" w:eastAsia="Arial Unicode MS" w:cs="Arial Unicode MS"/>
      <w:sz w:val="20"/>
    </w:rPr>
  </w:style>
  <w:style w:type="paragraph" w:customStyle="1" w:styleId="253">
    <w:name w:val="2"/>
    <w:basedOn w:val="1"/>
    <w:next w:val="1"/>
    <w:uiPriority w:val="0"/>
    <w:pPr>
      <w:adjustRightInd w:val="0"/>
      <w:spacing w:line="360" w:lineRule="atLeast"/>
      <w:textAlignment w:val="baseline"/>
    </w:pPr>
  </w:style>
  <w:style w:type="paragraph" w:customStyle="1" w:styleId="254">
    <w:name w:val="xl77"/>
    <w:basedOn w:val="1"/>
    <w:uiPriority w:val="0"/>
    <w:pPr>
      <w:widowControl/>
      <w:spacing w:before="100" w:beforeAutospacing="1" w:after="100" w:afterAutospacing="1"/>
      <w:jc w:val="left"/>
      <w:textAlignment w:val="bottom"/>
    </w:pPr>
    <w:rPr>
      <w:rFonts w:hint="eastAsia" w:ascii="仿宋_GB2312" w:hAnsi="Arial Unicode MS" w:eastAsia="仿宋_GB2312" w:cs="Arial Unicode MS"/>
      <w:sz w:val="20"/>
    </w:rPr>
  </w:style>
  <w:style w:type="paragraph" w:customStyle="1" w:styleId="255">
    <w:name w:val="正文破天惊"/>
    <w:basedOn w:val="1"/>
    <w:uiPriority w:val="0"/>
    <w:pPr>
      <w:adjustRightInd w:val="0"/>
      <w:spacing w:line="360" w:lineRule="atLeast"/>
      <w:jc w:val="left"/>
      <w:textAlignment w:val="baseline"/>
    </w:pPr>
    <w:rPr>
      <w:sz w:val="24"/>
    </w:rPr>
  </w:style>
  <w:style w:type="paragraph" w:customStyle="1" w:styleId="256">
    <w:name w:val="textbody-c1"/>
    <w:basedOn w:val="1"/>
    <w:uiPriority w:val="0"/>
    <w:pPr>
      <w:widowControl/>
      <w:spacing w:before="100" w:beforeAutospacing="1" w:after="100" w:afterAutospacing="1"/>
      <w:jc w:val="left"/>
    </w:pPr>
    <w:rPr>
      <w:rFonts w:hAnsi="宋体" w:cs="宋体"/>
      <w:sz w:val="24"/>
      <w:szCs w:val="24"/>
    </w:rPr>
  </w:style>
  <w:style w:type="paragraph" w:customStyle="1" w:styleId="257">
    <w:name w:val="正文文本 22"/>
    <w:basedOn w:val="1"/>
    <w:uiPriority w:val="0"/>
    <w:pPr>
      <w:adjustRightInd w:val="0"/>
      <w:spacing w:line="312" w:lineRule="atLeast"/>
      <w:ind w:firstLine="540"/>
      <w:textAlignment w:val="baseline"/>
    </w:pPr>
    <w:rPr>
      <w:rFonts w:eastAsia="仿宋_GB2312"/>
      <w:sz w:val="28"/>
    </w:rPr>
  </w:style>
  <w:style w:type="paragraph" w:customStyle="1" w:styleId="258">
    <w:name w:val="中等深浅网格 2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59">
    <w:name w:val="表格正文-平安招股书"/>
    <w:basedOn w:val="1"/>
    <w:link w:val="277"/>
    <w:qFormat/>
    <w:uiPriority w:val="2"/>
    <w:pPr>
      <w:jc w:val="left"/>
    </w:pPr>
    <w:rPr>
      <w:rFonts w:ascii="Times New Roman"/>
      <w:sz w:val="24"/>
    </w:rPr>
  </w:style>
  <w:style w:type="paragraph" w:customStyle="1" w:styleId="260">
    <w:name w:val="附注二级正文"/>
    <w:basedOn w:val="1"/>
    <w:link w:val="299"/>
    <w:qFormat/>
    <w:uiPriority w:val="0"/>
    <w:pPr>
      <w:adjustRightInd w:val="0"/>
      <w:snapToGrid w:val="0"/>
      <w:spacing w:line="400" w:lineRule="exact"/>
      <w:ind w:left="718" w:leftChars="342"/>
    </w:pPr>
    <w:rPr>
      <w:rFonts w:hAnsi="宋体"/>
      <w:kern w:val="2"/>
      <w:sz w:val="21"/>
    </w:rPr>
  </w:style>
  <w:style w:type="paragraph" w:customStyle="1" w:styleId="261">
    <w:name w:val="H1"/>
    <w:basedOn w:val="2"/>
    <w:uiPriority w:val="0"/>
    <w:pPr>
      <w:keepNext w:val="0"/>
      <w:keepLines w:val="0"/>
      <w:widowControl/>
      <w:tabs>
        <w:tab w:val="left" w:pos="1080"/>
      </w:tabs>
      <w:adjustRightInd w:val="0"/>
      <w:spacing w:before="240" w:after="240" w:line="360" w:lineRule="atLeast"/>
      <w:ind w:right="57"/>
      <w:jc w:val="center"/>
      <w:textAlignment w:val="baseline"/>
      <w:outlineLvl w:val="9"/>
    </w:pPr>
    <w:rPr>
      <w:rFonts w:ascii="黑体" w:eastAsia="黑体"/>
      <w:bCs w:val="0"/>
      <w:kern w:val="0"/>
      <w:sz w:val="30"/>
      <w:szCs w:val="20"/>
    </w:rPr>
  </w:style>
  <w:style w:type="paragraph" w:customStyle="1" w:styleId="262">
    <w:name w:val="xl113"/>
    <w:basedOn w:val="1"/>
    <w:uiPriority w:val="0"/>
    <w:pPr>
      <w:widowControl/>
      <w:pBdr>
        <w:top w:val="single" w:color="auto" w:sz="4" w:space="0"/>
        <w:left w:val="single" w:color="auto" w:sz="4" w:space="0"/>
        <w:bottom w:val="single" w:color="auto" w:sz="4" w:space="0"/>
        <w:right w:val="single" w:color="auto" w:sz="4" w:space="0"/>
      </w:pBdr>
      <w:shd w:val="clear" w:color="auto" w:fill="FFFFFF"/>
      <w:spacing w:before="100" w:beforeAutospacing="1" w:after="100" w:afterAutospacing="1"/>
      <w:jc w:val="center"/>
    </w:pPr>
    <w:rPr>
      <w:rFonts w:ascii="Arial Narrow" w:hAnsi="Arial Narrow" w:cs="宋体"/>
      <w:sz w:val="24"/>
      <w:szCs w:val="24"/>
    </w:rPr>
  </w:style>
  <w:style w:type="paragraph" w:customStyle="1" w:styleId="263">
    <w:name w:val="文档正文"/>
    <w:basedOn w:val="1"/>
    <w:uiPriority w:val="0"/>
    <w:pPr>
      <w:adjustRightInd w:val="0"/>
      <w:spacing w:line="480" w:lineRule="atLeast"/>
      <w:ind w:firstLine="567"/>
      <w:textAlignment w:val="baseline"/>
    </w:pPr>
    <w:rPr>
      <w:rFonts w:ascii="长城仿宋"/>
      <w:sz w:val="24"/>
    </w:rPr>
  </w:style>
  <w:style w:type="paragraph" w:customStyle="1" w:styleId="264">
    <w:name w:val="xl35"/>
    <w:basedOn w:val="1"/>
    <w:uiPriority w:val="0"/>
    <w:pPr>
      <w:widowControl/>
      <w:pBdr>
        <w:top w:val="single" w:color="auto" w:sz="4" w:space="0"/>
        <w:left w:val="single" w:color="auto" w:sz="4" w:space="0"/>
        <w:bottom w:val="single" w:color="auto" w:sz="4" w:space="0"/>
        <w:right w:val="single" w:color="auto" w:sz="4" w:space="0"/>
      </w:pBdr>
      <w:adjustRightInd w:val="0"/>
      <w:spacing w:before="100" w:beforeAutospacing="1" w:after="100" w:afterAutospacing="1" w:line="360" w:lineRule="atLeast"/>
      <w:jc w:val="left"/>
      <w:textAlignment w:val="baseline"/>
    </w:pPr>
    <w:rPr>
      <w:rFonts w:ascii="Arial Narrow" w:hAnsi="Arial Narrow" w:eastAsia="Arial Unicode MS" w:cs="楷体_GB2312"/>
      <w:sz w:val="22"/>
      <w:szCs w:val="22"/>
    </w:rPr>
  </w:style>
  <w:style w:type="paragraph" w:customStyle="1" w:styleId="265">
    <w:name w:val="xl96"/>
    <w:basedOn w:val="1"/>
    <w:uiPriority w:val="0"/>
    <w:pPr>
      <w:widowControl/>
      <w:pBdr>
        <w:top w:val="single" w:color="auto" w:sz="4" w:space="0"/>
        <w:left w:val="single" w:color="auto" w:sz="4" w:space="0"/>
        <w:bottom w:val="single" w:color="auto" w:sz="8" w:space="0"/>
        <w:right w:val="single" w:color="auto" w:sz="8" w:space="0"/>
      </w:pBdr>
      <w:spacing w:before="100" w:beforeAutospacing="1" w:after="100" w:afterAutospacing="1"/>
      <w:jc w:val="right"/>
      <w:textAlignment w:val="center"/>
    </w:pPr>
    <w:rPr>
      <w:rFonts w:ascii="Arial Unicode MS" w:hAnsi="Arial Unicode MS" w:eastAsia="Arial Unicode MS" w:cs="Arial Unicode MS"/>
      <w:b/>
      <w:bCs/>
      <w:sz w:val="24"/>
      <w:szCs w:val="24"/>
    </w:rPr>
  </w:style>
  <w:style w:type="paragraph" w:customStyle="1" w:styleId="266">
    <w:name w:val="内部地址姓名"/>
    <w:basedOn w:val="1"/>
    <w:uiPriority w:val="0"/>
    <w:rPr>
      <w:szCs w:val="24"/>
    </w:rPr>
  </w:style>
  <w:style w:type="paragraph" w:customStyle="1" w:styleId="267">
    <w:name w:val="xl72"/>
    <w:basedOn w:val="1"/>
    <w:uiPriority w:val="0"/>
    <w:pPr>
      <w:widowControl/>
      <w:pBdr>
        <w:top w:val="single" w:color="auto" w:sz="4" w:space="0"/>
        <w:left w:val="single" w:color="auto" w:sz="4" w:space="0"/>
        <w:bottom w:val="single" w:color="auto" w:sz="8" w:space="0"/>
        <w:right w:val="single" w:color="auto" w:sz="4" w:space="0"/>
      </w:pBdr>
      <w:shd w:val="clear" w:color="auto" w:fill="FFFFFF"/>
      <w:spacing w:before="100" w:beforeAutospacing="1" w:after="100" w:afterAutospacing="1"/>
      <w:jc w:val="left"/>
    </w:pPr>
    <w:rPr>
      <w:rFonts w:hAnsi="宋体" w:cs="宋体"/>
      <w:sz w:val="20"/>
    </w:rPr>
  </w:style>
  <w:style w:type="paragraph" w:customStyle="1" w:styleId="268">
    <w:name w:val="Char Char Char Char Char Char Char"/>
    <w:basedOn w:val="1"/>
    <w:qFormat/>
    <w:uiPriority w:val="0"/>
    <w:pPr>
      <w:widowControl/>
      <w:spacing w:after="160" w:line="240" w:lineRule="exact"/>
      <w:ind w:left="-62" w:right="36" w:rightChars="15"/>
      <w:jc w:val="left"/>
    </w:pPr>
    <w:rPr>
      <w:rFonts w:ascii="Arial" w:hAnsi="Arial" w:eastAsia="Times New Roman"/>
      <w:sz w:val="20"/>
      <w:lang w:eastAsia="en-US"/>
    </w:rPr>
  </w:style>
  <w:style w:type="paragraph" w:customStyle="1" w:styleId="269">
    <w:name w:val="ww"/>
    <w:basedOn w:val="230"/>
    <w:uiPriority w:val="0"/>
    <w:pPr>
      <w:spacing w:before="120" w:line="440" w:lineRule="atLeast"/>
      <w:ind w:firstLine="601"/>
      <w:jc w:val="left"/>
    </w:pPr>
    <w:rPr>
      <w:rFonts w:eastAsia="宋体"/>
    </w:rPr>
  </w:style>
  <w:style w:type="paragraph" w:customStyle="1" w:styleId="270">
    <w:name w:val="xl104"/>
    <w:basedOn w:val="1"/>
    <w:uiPriority w:val="0"/>
    <w:pPr>
      <w:widowControl/>
      <w:pBdr>
        <w:bottom w:val="single" w:color="auto" w:sz="4" w:space="0"/>
      </w:pBdr>
      <w:shd w:val="clear" w:color="auto" w:fill="FFFFFF"/>
      <w:spacing w:before="100" w:beforeAutospacing="1" w:after="100" w:afterAutospacing="1"/>
      <w:jc w:val="center"/>
    </w:pPr>
    <w:rPr>
      <w:rFonts w:ascii="Arial Narrow" w:hAnsi="Arial Narrow" w:cs="宋体"/>
      <w:sz w:val="20"/>
    </w:rPr>
  </w:style>
  <w:style w:type="paragraph" w:customStyle="1" w:styleId="271">
    <w:name w:val="Bullet 3"/>
    <w:basedOn w:val="1"/>
    <w:uiPriority w:val="0"/>
    <w:pPr>
      <w:widowControl/>
      <w:tabs>
        <w:tab w:val="left" w:pos="720"/>
        <w:tab w:val="left" w:pos="885"/>
        <w:tab w:val="left" w:pos="1440"/>
        <w:tab w:val="left" w:pos="2160"/>
        <w:tab w:val="left" w:pos="2880"/>
        <w:tab w:val="left" w:pos="3600"/>
        <w:tab w:val="left" w:pos="4321"/>
        <w:tab w:val="left" w:pos="5041"/>
        <w:tab w:val="left" w:pos="5761"/>
        <w:tab w:val="left" w:pos="6481"/>
        <w:tab w:val="left" w:pos="7201"/>
        <w:tab w:val="left" w:pos="7921"/>
      </w:tabs>
      <w:ind w:left="2880" w:hanging="360"/>
      <w:jc w:val="left"/>
    </w:pPr>
    <w:rPr>
      <w:sz w:val="24"/>
      <w:lang w:val="en-AU"/>
    </w:rPr>
  </w:style>
  <w:style w:type="paragraph" w:customStyle="1" w:styleId="272">
    <w:name w:val="_Style 23"/>
    <w:basedOn w:val="1"/>
    <w:next w:val="4"/>
    <w:uiPriority w:val="0"/>
    <w:pPr>
      <w:adjustRightInd w:val="0"/>
      <w:spacing w:line="312" w:lineRule="atLeast"/>
      <w:ind w:firstLine="420"/>
      <w:textAlignment w:val="baseline"/>
    </w:pPr>
  </w:style>
  <w:style w:type="character" w:customStyle="1" w:styleId="273">
    <w:name w:val="正文文本 字符"/>
    <w:link w:val="24"/>
    <w:qFormat/>
    <w:uiPriority w:val="0"/>
    <w:rPr>
      <w:rFonts w:ascii="宋体" w:eastAsia="宋体"/>
      <w:sz w:val="21"/>
      <w:lang w:val="en-US" w:eastAsia="zh-CN" w:bidi="ar-SA"/>
    </w:rPr>
  </w:style>
  <w:style w:type="character" w:customStyle="1" w:styleId="274">
    <w:name w:val="t_blue_01"/>
    <w:basedOn w:val="61"/>
    <w:uiPriority w:val="0"/>
  </w:style>
  <w:style w:type="character" w:customStyle="1" w:styleId="275">
    <w:name w:val="正文文本 3 字符"/>
    <w:link w:val="23"/>
    <w:qFormat/>
    <w:uiPriority w:val="0"/>
    <w:rPr>
      <w:rFonts w:ascii="仿宋_GB2312" w:eastAsia="仿宋_GB2312"/>
      <w:kern w:val="2"/>
      <w:sz w:val="21"/>
      <w:lang w:val="en-US" w:eastAsia="zh-CN" w:bidi="ar-SA"/>
    </w:rPr>
  </w:style>
  <w:style w:type="character" w:customStyle="1" w:styleId="276">
    <w:name w:val="font51"/>
    <w:uiPriority w:val="0"/>
    <w:rPr>
      <w:rFonts w:hint="eastAsia" w:ascii="宋体" w:hAnsi="宋体" w:eastAsia="宋体"/>
      <w:color w:val="000000"/>
      <w:sz w:val="20"/>
      <w:szCs w:val="20"/>
      <w:u w:val="none"/>
    </w:rPr>
  </w:style>
  <w:style w:type="character" w:customStyle="1" w:styleId="277">
    <w:name w:val="表格正文-平安招股书 Char"/>
    <w:link w:val="259"/>
    <w:locked/>
    <w:uiPriority w:val="2"/>
    <w:rPr>
      <w:sz w:val="24"/>
    </w:rPr>
  </w:style>
  <w:style w:type="character" w:customStyle="1" w:styleId="278">
    <w:name w:val="页脚 字符"/>
    <w:link w:val="37"/>
    <w:qFormat/>
    <w:uiPriority w:val="99"/>
    <w:rPr>
      <w:rFonts w:eastAsia="宋体"/>
      <w:kern w:val="2"/>
      <w:sz w:val="18"/>
      <w:lang w:val="en-US" w:eastAsia="zh-CN" w:bidi="ar-SA"/>
    </w:rPr>
  </w:style>
  <w:style w:type="character" w:customStyle="1" w:styleId="279">
    <w:name w:val="unnamed11"/>
    <w:uiPriority w:val="0"/>
  </w:style>
  <w:style w:type="character" w:customStyle="1" w:styleId="280">
    <w:name w:val="标书正文 Char"/>
    <w:link w:val="140"/>
    <w:uiPriority w:val="0"/>
    <w:rPr>
      <w:rFonts w:ascii="仿宋_GB2312" w:eastAsia="仿宋_GB2312"/>
      <w:snapToGrid w:val="0"/>
      <w:sz w:val="28"/>
      <w:lang w:val="en-US" w:eastAsia="zh-CN" w:bidi="ar-SA"/>
    </w:rPr>
  </w:style>
  <w:style w:type="character" w:customStyle="1" w:styleId="281">
    <w:name w:val="签名 字符"/>
    <w:link w:val="39"/>
    <w:uiPriority w:val="0"/>
    <w:rPr>
      <w:rFonts w:eastAsia="宋体"/>
      <w:kern w:val="2"/>
      <w:sz w:val="21"/>
      <w:szCs w:val="24"/>
      <w:lang w:val="en-US" w:eastAsia="zh-CN" w:bidi="ar-SA"/>
    </w:rPr>
  </w:style>
  <w:style w:type="character" w:customStyle="1" w:styleId="282">
    <w:name w:val="px14"/>
    <w:basedOn w:val="61"/>
    <w:uiPriority w:val="0"/>
  </w:style>
  <w:style w:type="character" w:customStyle="1" w:styleId="283">
    <w:name w:val="标题 7 字符"/>
    <w:link w:val="9"/>
    <w:qFormat/>
    <w:uiPriority w:val="0"/>
    <w:rPr>
      <w:rFonts w:eastAsia="宋体"/>
      <w:b/>
      <w:kern w:val="2"/>
      <w:sz w:val="24"/>
      <w:lang w:val="en-US" w:eastAsia="zh-CN" w:bidi="ar-SA"/>
    </w:rPr>
  </w:style>
  <w:style w:type="character" w:customStyle="1" w:styleId="284">
    <w:name w:val="zw Char Char"/>
    <w:uiPriority w:val="0"/>
    <w:rPr>
      <w:rFonts w:ascii="Arial Narrow" w:hAnsi="Arial" w:eastAsia="昆仑楷体"/>
      <w:sz w:val="28"/>
      <w:lang w:val="en-US" w:eastAsia="zh-CN" w:bidi="ar-SA"/>
    </w:rPr>
  </w:style>
  <w:style w:type="character" w:customStyle="1" w:styleId="285">
    <w:name w:val="11pt"/>
    <w:basedOn w:val="61"/>
    <w:uiPriority w:val="0"/>
  </w:style>
  <w:style w:type="character" w:customStyle="1" w:styleId="286">
    <w:name w:val="HTML 预设格式 字符"/>
    <w:link w:val="52"/>
    <w:uiPriority w:val="0"/>
    <w:rPr>
      <w:rFonts w:ascii="宋体" w:hAnsi="宋体" w:eastAsia="宋体" w:cs="宋体"/>
      <w:color w:val="333399"/>
      <w:sz w:val="24"/>
      <w:lang w:val="en-US" w:eastAsia="zh-CN" w:bidi="ar-SA"/>
    </w:rPr>
  </w:style>
  <w:style w:type="character" w:customStyle="1" w:styleId="287">
    <w:name w:val="title15"/>
    <w:basedOn w:val="61"/>
    <w:uiPriority w:val="0"/>
  </w:style>
  <w:style w:type="character" w:customStyle="1" w:styleId="288">
    <w:name w:val="标题 6 字符"/>
    <w:link w:val="8"/>
    <w:qFormat/>
    <w:uiPriority w:val="0"/>
    <w:rPr>
      <w:rFonts w:ascii="Arial" w:hAnsi="Arial" w:eastAsia="黑体"/>
      <w:b/>
      <w:kern w:val="2"/>
      <w:sz w:val="24"/>
      <w:lang w:val="en-US" w:eastAsia="zh-CN" w:bidi="ar-SA"/>
    </w:rPr>
  </w:style>
  <w:style w:type="character" w:customStyle="1" w:styleId="289">
    <w:name w:val="font61"/>
    <w:uiPriority w:val="0"/>
    <w:rPr>
      <w:rFonts w:hint="default" w:ascii="Times New Roman" w:hAnsi="Times New Roman" w:cs="Times New Roman"/>
      <w:color w:val="000000"/>
      <w:sz w:val="24"/>
      <w:szCs w:val="24"/>
      <w:u w:val="none"/>
    </w:rPr>
  </w:style>
  <w:style w:type="character" w:customStyle="1" w:styleId="290">
    <w:name w:val="Char Char41"/>
    <w:qFormat/>
    <w:uiPriority w:val="0"/>
    <w:rPr>
      <w:rFonts w:ascii="Arial Narrow" w:hAnsi="Arial Narrow" w:eastAsia="宋体" w:cs="Times New Roman"/>
      <w:b/>
      <w:sz w:val="24"/>
      <w:szCs w:val="20"/>
    </w:rPr>
  </w:style>
  <w:style w:type="character" w:customStyle="1" w:styleId="291">
    <w:name w:val="正文文本缩进 字符"/>
    <w:link w:val="25"/>
    <w:qFormat/>
    <w:uiPriority w:val="0"/>
    <w:rPr>
      <w:rFonts w:eastAsia="宋体"/>
      <w:kern w:val="2"/>
      <w:sz w:val="21"/>
      <w:lang w:val="en-US" w:eastAsia="zh-CN" w:bidi="ar-SA"/>
    </w:rPr>
  </w:style>
  <w:style w:type="character" w:customStyle="1" w:styleId="292">
    <w:name w:val="l151"/>
    <w:uiPriority w:val="0"/>
    <w:rPr>
      <w:sz w:val="21"/>
      <w:szCs w:val="21"/>
    </w:rPr>
  </w:style>
  <w:style w:type="character" w:customStyle="1" w:styleId="293">
    <w:name w:val="Level 2 - (a) Char"/>
    <w:uiPriority w:val="0"/>
    <w:rPr>
      <w:rFonts w:ascii="Arial Narrow" w:hAnsi="Arial Narrow" w:eastAsia="宋体"/>
      <w:b/>
      <w:kern w:val="2"/>
      <w:sz w:val="24"/>
      <w:lang w:val="en-US" w:eastAsia="zh-CN" w:bidi="ar-SA"/>
    </w:rPr>
  </w:style>
  <w:style w:type="character" w:customStyle="1" w:styleId="294">
    <w:name w:val="p91"/>
    <w:uiPriority w:val="0"/>
    <w:rPr>
      <w:rFonts w:hint="eastAsia" w:ascii="宋体" w:hAnsi="宋体" w:eastAsia="宋体"/>
      <w:sz w:val="18"/>
      <w:szCs w:val="18"/>
    </w:rPr>
  </w:style>
  <w:style w:type="character" w:customStyle="1" w:styleId="295">
    <w:name w:val="数据来源 Char"/>
    <w:link w:val="75"/>
    <w:locked/>
    <w:uiPriority w:val="0"/>
    <w:rPr>
      <w:rFonts w:ascii="宋体" w:hAnsi="宋体"/>
      <w:sz w:val="18"/>
      <w:szCs w:val="24"/>
      <w:lang w:bidi="ar-SA"/>
    </w:rPr>
  </w:style>
  <w:style w:type="character" w:customStyle="1" w:styleId="296">
    <w:name w:val="zw Char"/>
    <w:link w:val="230"/>
    <w:qFormat/>
    <w:uiPriority w:val="0"/>
    <w:rPr>
      <w:rFonts w:ascii="Arial Narrow" w:hAnsi="Arial Narrow" w:eastAsia="仿宋_GB2312"/>
      <w:sz w:val="24"/>
      <w:lang w:val="en-US" w:eastAsia="zh-CN" w:bidi="ar-SA"/>
    </w:rPr>
  </w:style>
  <w:style w:type="character" w:customStyle="1" w:styleId="297">
    <w:name w:val="普通(网站) 字符"/>
    <w:link w:val="53"/>
    <w:locked/>
    <w:uiPriority w:val="0"/>
    <w:rPr>
      <w:rFonts w:ascii="宋体" w:hAnsi="宋体" w:eastAsia="宋体" w:cs="宋体"/>
      <w:sz w:val="24"/>
      <w:szCs w:val="24"/>
      <w:lang w:val="en-US" w:eastAsia="zh-CN" w:bidi="ar-SA"/>
    </w:rPr>
  </w:style>
  <w:style w:type="character" w:customStyle="1" w:styleId="298">
    <w:name w:val="z-窗体底端字符"/>
    <w:link w:val="84"/>
    <w:uiPriority w:val="0"/>
    <w:rPr>
      <w:rFonts w:ascii="Arial" w:hAnsi="Arial" w:eastAsia="宋体" w:cs="Arial"/>
      <w:vanish/>
      <w:color w:val="000000"/>
      <w:sz w:val="16"/>
      <w:szCs w:val="16"/>
      <w:lang w:val="en-US" w:eastAsia="zh-CN" w:bidi="ar-SA"/>
    </w:rPr>
  </w:style>
  <w:style w:type="character" w:customStyle="1" w:styleId="299">
    <w:name w:val="附注二级正文 Char"/>
    <w:link w:val="260"/>
    <w:qFormat/>
    <w:uiPriority w:val="0"/>
    <w:rPr>
      <w:rFonts w:ascii="宋体" w:hAnsi="宋体"/>
      <w:kern w:val="2"/>
      <w:sz w:val="21"/>
    </w:rPr>
  </w:style>
  <w:style w:type="character" w:customStyle="1" w:styleId="300">
    <w:name w:val="标题 9 字符"/>
    <w:link w:val="11"/>
    <w:qFormat/>
    <w:uiPriority w:val="0"/>
    <w:rPr>
      <w:rFonts w:ascii="Arial" w:hAnsi="Arial" w:eastAsia="仿宋_GB2312"/>
      <w:color w:val="000000"/>
      <w:sz w:val="28"/>
      <w:lang w:val="en-US" w:eastAsia="zh-CN" w:bidi="ar-SA"/>
    </w:rPr>
  </w:style>
  <w:style w:type="character" w:customStyle="1" w:styleId="301">
    <w:name w:val="font14px1"/>
    <w:uiPriority w:val="0"/>
    <w:rPr>
      <w:sz w:val="21"/>
      <w:szCs w:val="21"/>
    </w:rPr>
  </w:style>
  <w:style w:type="character" w:customStyle="1" w:styleId="302">
    <w:name w:val="Char Char20"/>
    <w:uiPriority w:val="0"/>
    <w:rPr>
      <w:rFonts w:ascii="Arial Narrow" w:hAnsi="Arial Narrow" w:eastAsia="宋体"/>
      <w:b/>
      <w:sz w:val="24"/>
      <w:lang w:val="en-US" w:eastAsia="zh-CN" w:bidi="ar-SA"/>
    </w:rPr>
  </w:style>
  <w:style w:type="character" w:customStyle="1" w:styleId="303">
    <w:name w:val="正文文本首行缩进 字符"/>
    <w:link w:val="57"/>
    <w:qFormat/>
    <w:uiPriority w:val="0"/>
    <w:rPr>
      <w:rFonts w:ascii="宋体" w:eastAsia="宋体"/>
      <w:kern w:val="2"/>
      <w:sz w:val="21"/>
      <w:lang w:val="en-US" w:eastAsia="zh-CN" w:bidi="ar-SA"/>
    </w:rPr>
  </w:style>
  <w:style w:type="character" w:customStyle="1" w:styleId="304">
    <w:name w:val="批注框文本 字符"/>
    <w:link w:val="36"/>
    <w:semiHidden/>
    <w:qFormat/>
    <w:uiPriority w:val="0"/>
    <w:rPr>
      <w:rFonts w:eastAsia="宋体"/>
      <w:kern w:val="2"/>
      <w:sz w:val="18"/>
      <w:szCs w:val="18"/>
      <w:lang w:val="en-US" w:eastAsia="zh-CN" w:bidi="ar-SA"/>
    </w:rPr>
  </w:style>
  <w:style w:type="character" w:customStyle="1" w:styleId="305">
    <w:name w:val="font91"/>
    <w:uiPriority w:val="0"/>
    <w:rPr>
      <w:rFonts w:hint="default" w:ascii="Times New Roman" w:hAnsi="Times New Roman" w:cs="Times New Roman"/>
      <w:color w:val="000000"/>
      <w:sz w:val="24"/>
      <w:szCs w:val="24"/>
      <w:u w:val="none"/>
    </w:rPr>
  </w:style>
  <w:style w:type="character" w:customStyle="1" w:styleId="306">
    <w:name w:val="批注主题 字符"/>
    <w:link w:val="56"/>
    <w:qFormat/>
    <w:uiPriority w:val="0"/>
    <w:rPr>
      <w:rFonts w:ascii="宋体" w:eastAsia="宋体"/>
      <w:b/>
      <w:bCs/>
      <w:kern w:val="2"/>
      <w:sz w:val="21"/>
      <w:lang w:val="en-US" w:eastAsia="zh-CN" w:bidi="ar-SA"/>
    </w:rPr>
  </w:style>
  <w:style w:type="character" w:customStyle="1" w:styleId="307">
    <w:name w:val="标题 5 字符"/>
    <w:link w:val="7"/>
    <w:qFormat/>
    <w:uiPriority w:val="0"/>
    <w:rPr>
      <w:rFonts w:eastAsia="黑体"/>
      <w:b/>
      <w:kern w:val="2"/>
      <w:sz w:val="24"/>
      <w:lang w:val="en-US" w:eastAsia="zh-CN" w:bidi="ar-SA"/>
    </w:rPr>
  </w:style>
  <w:style w:type="character" w:customStyle="1" w:styleId="308">
    <w:name w:val="正文文字缩进 Char Char2"/>
    <w:uiPriority w:val="0"/>
    <w:rPr>
      <w:rFonts w:ascii="楷体_GB2312" w:eastAsia="楷体_GB2312"/>
      <w:sz w:val="21"/>
      <w:lang w:val="en-US" w:eastAsia="zh-CN" w:bidi="ar-SA"/>
    </w:rPr>
  </w:style>
  <w:style w:type="character" w:customStyle="1" w:styleId="309">
    <w:name w:val="文档结构图 字符"/>
    <w:link w:val="19"/>
    <w:semiHidden/>
    <w:qFormat/>
    <w:uiPriority w:val="0"/>
    <w:rPr>
      <w:rFonts w:eastAsia="宋体"/>
      <w:kern w:val="2"/>
      <w:sz w:val="21"/>
      <w:lang w:val="en-US" w:eastAsia="zh-CN" w:bidi="ar-SA"/>
    </w:rPr>
  </w:style>
  <w:style w:type="character" w:customStyle="1" w:styleId="310">
    <w:name w:val="标题 8 字符"/>
    <w:link w:val="10"/>
    <w:qFormat/>
    <w:uiPriority w:val="0"/>
    <w:rPr>
      <w:rFonts w:ascii="Arial" w:hAnsi="Arial" w:eastAsia="黑体"/>
      <w:kern w:val="2"/>
      <w:sz w:val="24"/>
      <w:lang w:val="en-US" w:eastAsia="zh-CN" w:bidi="ar-SA"/>
    </w:rPr>
  </w:style>
  <w:style w:type="character" w:customStyle="1" w:styleId="311">
    <w:name w:val="纯文本 字符"/>
    <w:link w:val="31"/>
    <w:qFormat/>
    <w:uiPriority w:val="0"/>
    <w:rPr>
      <w:rFonts w:ascii="宋体" w:hAnsi="Courier New" w:eastAsia="宋体" w:cs="Courier New"/>
      <w:kern w:val="2"/>
      <w:sz w:val="21"/>
      <w:szCs w:val="21"/>
      <w:lang w:val="en-US" w:eastAsia="zh-CN" w:bidi="ar-SA"/>
    </w:rPr>
  </w:style>
  <w:style w:type="character" w:customStyle="1" w:styleId="312">
    <w:name w:val="tpc_content1"/>
    <w:qFormat/>
    <w:uiPriority w:val="0"/>
    <w:rPr>
      <w:sz w:val="20"/>
      <w:szCs w:val="20"/>
    </w:rPr>
  </w:style>
  <w:style w:type="character" w:customStyle="1" w:styleId="313">
    <w:name w:val="日期 字符"/>
    <w:link w:val="34"/>
    <w:qFormat/>
    <w:uiPriority w:val="0"/>
    <w:rPr>
      <w:rFonts w:eastAsia="黑体"/>
      <w:b/>
      <w:spacing w:val="2"/>
      <w:kern w:val="2"/>
      <w:sz w:val="44"/>
      <w:lang w:val="en-US" w:eastAsia="zh-CN" w:bidi="ar-SA"/>
    </w:rPr>
  </w:style>
  <w:style w:type="character" w:customStyle="1" w:styleId="314">
    <w:name w:val="表 Char"/>
    <w:link w:val="224"/>
    <w:qFormat/>
    <w:uiPriority w:val="0"/>
    <w:rPr>
      <w:rFonts w:ascii="仿宋_GB2312" w:hAnsi="华文细黑" w:eastAsia="仿宋_GB2312"/>
      <w:kern w:val="2"/>
      <w:sz w:val="21"/>
      <w:lang w:val="en-US" w:eastAsia="zh-CN" w:bidi="ar-SA"/>
    </w:rPr>
  </w:style>
  <w:style w:type="character" w:customStyle="1" w:styleId="315">
    <w:name w:val="批注文字 字符"/>
    <w:link w:val="20"/>
    <w:qFormat/>
    <w:uiPriority w:val="99"/>
    <w:rPr>
      <w:rFonts w:ascii="宋体" w:eastAsia="宋体"/>
      <w:sz w:val="21"/>
      <w:lang w:val="en-US" w:eastAsia="zh-CN" w:bidi="ar-SA"/>
    </w:rPr>
  </w:style>
  <w:style w:type="character" w:customStyle="1" w:styleId="316">
    <w:name w:val="font31"/>
    <w:qFormat/>
    <w:uiPriority w:val="0"/>
    <w:rPr>
      <w:sz w:val="21"/>
      <w:szCs w:val="21"/>
    </w:rPr>
  </w:style>
  <w:style w:type="character" w:customStyle="1" w:styleId="317">
    <w:name w:val="a1"/>
    <w:qFormat/>
    <w:uiPriority w:val="0"/>
    <w:rPr>
      <w:sz w:val="21"/>
      <w:szCs w:val="21"/>
    </w:rPr>
  </w:style>
  <w:style w:type="character" w:customStyle="1" w:styleId="318">
    <w:name w:val="标题 4 字符"/>
    <w:link w:val="6"/>
    <w:qFormat/>
    <w:uiPriority w:val="0"/>
    <w:rPr>
      <w:rFonts w:ascii="Arial Narrow" w:hAnsi="Arial Narrow" w:eastAsia="宋体"/>
      <w:b/>
      <w:kern w:val="2"/>
      <w:sz w:val="24"/>
      <w:lang w:val="en-US" w:eastAsia="zh-CN" w:bidi="ar-SA"/>
    </w:rPr>
  </w:style>
  <w:style w:type="character" w:customStyle="1" w:styleId="319">
    <w:name w:val="font21"/>
    <w:qFormat/>
    <w:uiPriority w:val="0"/>
    <w:rPr>
      <w:rFonts w:hint="eastAsia" w:ascii="宋体" w:hAnsi="宋体" w:eastAsia="宋体"/>
      <w:color w:val="000000"/>
      <w:sz w:val="20"/>
      <w:szCs w:val="20"/>
      <w:u w:val="none"/>
    </w:rPr>
  </w:style>
  <w:style w:type="character" w:customStyle="1" w:styleId="320">
    <w:name w:val="中伦正文 Char"/>
    <w:link w:val="226"/>
    <w:qFormat/>
    <w:uiPriority w:val="0"/>
    <w:rPr>
      <w:kern w:val="2"/>
      <w:sz w:val="24"/>
      <w:szCs w:val="24"/>
      <w:lang w:eastAsia="en-US"/>
    </w:rPr>
  </w:style>
  <w:style w:type="character" w:customStyle="1" w:styleId="321">
    <w:name w:val="标题 字符"/>
    <w:link w:val="55"/>
    <w:qFormat/>
    <w:uiPriority w:val="0"/>
    <w:rPr>
      <w:rFonts w:ascii="Arial" w:hAnsi="Arial" w:eastAsia="宋体" w:cs="Arial"/>
      <w:b/>
      <w:bCs/>
      <w:kern w:val="2"/>
      <w:sz w:val="32"/>
      <w:szCs w:val="32"/>
      <w:lang w:val="en-US" w:eastAsia="zh-CN" w:bidi="ar-SA"/>
    </w:rPr>
  </w:style>
  <w:style w:type="character" w:customStyle="1" w:styleId="322">
    <w:name w:val="标题 3 字符"/>
    <w:link w:val="5"/>
    <w:qFormat/>
    <w:uiPriority w:val="0"/>
    <w:rPr>
      <w:rFonts w:eastAsia="宋体"/>
      <w:b/>
      <w:bCs/>
      <w:kern w:val="2"/>
      <w:sz w:val="32"/>
      <w:szCs w:val="32"/>
      <w:lang w:val="en-US" w:eastAsia="zh-CN" w:bidi="ar-SA"/>
    </w:rPr>
  </w:style>
  <w:style w:type="character" w:customStyle="1" w:styleId="323">
    <w:name w:val="10 Char"/>
    <w:qFormat/>
    <w:uiPriority w:val="0"/>
    <w:rPr>
      <w:rFonts w:eastAsia="宋体"/>
      <w:kern w:val="2"/>
      <w:sz w:val="21"/>
      <w:lang w:val="en-US" w:eastAsia="zh-CN" w:bidi="ar-SA"/>
    </w:rPr>
  </w:style>
  <w:style w:type="character" w:customStyle="1" w:styleId="324">
    <w:name w:val="表名 Char"/>
    <w:link w:val="191"/>
    <w:qFormat/>
    <w:uiPriority w:val="0"/>
    <w:rPr>
      <w:rFonts w:eastAsia="黑体"/>
      <w:kern w:val="2"/>
      <w:sz w:val="24"/>
      <w:szCs w:val="24"/>
      <w:lang w:val="en-US" w:eastAsia="zh-CN" w:bidi="ar-SA"/>
    </w:rPr>
  </w:style>
  <w:style w:type="character" w:customStyle="1" w:styleId="325">
    <w:name w:val="正文文字 Char Char"/>
    <w:qFormat/>
    <w:uiPriority w:val="0"/>
    <w:rPr>
      <w:rFonts w:ascii="楷体_GB2312" w:eastAsia="楷体_GB2312"/>
      <w:color w:val="000000"/>
      <w:kern w:val="2"/>
      <w:sz w:val="28"/>
    </w:rPr>
  </w:style>
  <w:style w:type="character" w:customStyle="1" w:styleId="326">
    <w:name w:val="正文缩进 字符"/>
    <w:link w:val="4"/>
    <w:qFormat/>
    <w:uiPriority w:val="0"/>
    <w:rPr>
      <w:rFonts w:eastAsia="宋体"/>
      <w:kern w:val="2"/>
      <w:sz w:val="21"/>
      <w:lang w:val="en-US" w:eastAsia="zh-CN" w:bidi="ar-SA"/>
    </w:rPr>
  </w:style>
  <w:style w:type="character" w:customStyle="1" w:styleId="327">
    <w:name w:val="grame"/>
    <w:basedOn w:val="61"/>
    <w:qFormat/>
    <w:uiPriority w:val="0"/>
  </w:style>
  <w:style w:type="character" w:customStyle="1" w:styleId="328">
    <w:name w:val="正文文本 2 字符"/>
    <w:link w:val="51"/>
    <w:qFormat/>
    <w:uiPriority w:val="0"/>
    <w:rPr>
      <w:rFonts w:eastAsia="仿宋_GB2312"/>
      <w:b/>
      <w:kern w:val="2"/>
      <w:sz w:val="32"/>
      <w:lang w:val="en-US" w:eastAsia="zh-CN" w:bidi="ar-SA"/>
    </w:rPr>
  </w:style>
  <w:style w:type="character" w:customStyle="1" w:styleId="329">
    <w:name w:val="style11"/>
    <w:qFormat/>
    <w:uiPriority w:val="0"/>
    <w:rPr>
      <w:b/>
      <w:bCs/>
      <w:color w:val="000099"/>
      <w:sz w:val="27"/>
      <w:szCs w:val="27"/>
    </w:rPr>
  </w:style>
  <w:style w:type="character" w:customStyle="1" w:styleId="330">
    <w:name w:val="页眉 字符"/>
    <w:link w:val="38"/>
    <w:qFormat/>
    <w:uiPriority w:val="99"/>
    <w:rPr>
      <w:rFonts w:eastAsia="宋体"/>
      <w:kern w:val="2"/>
      <w:sz w:val="18"/>
      <w:lang w:val="en-US" w:eastAsia="zh-CN" w:bidi="ar-SA"/>
    </w:rPr>
  </w:style>
  <w:style w:type="character" w:customStyle="1" w:styleId="331">
    <w:name w:val="Char Char1"/>
    <w:qFormat/>
    <w:uiPriority w:val="0"/>
    <w:rPr>
      <w:rFonts w:eastAsia="宋体"/>
      <w:kern w:val="2"/>
      <w:sz w:val="21"/>
      <w:lang w:val="en-US" w:eastAsia="zh-CN" w:bidi="ar-SA"/>
    </w:rPr>
  </w:style>
  <w:style w:type="character" w:customStyle="1" w:styleId="332">
    <w:name w:val="font11"/>
    <w:qFormat/>
    <w:uiPriority w:val="0"/>
    <w:rPr>
      <w:rFonts w:hint="default" w:ascii="_x000B__x000C_" w:hAnsi="_x000B__x000C_"/>
      <w:sz w:val="18"/>
      <w:szCs w:val="18"/>
    </w:rPr>
  </w:style>
  <w:style w:type="character" w:customStyle="1" w:styleId="333">
    <w:name w:val="标题 2 字符"/>
    <w:link w:val="3"/>
    <w:qFormat/>
    <w:uiPriority w:val="0"/>
    <w:rPr>
      <w:rFonts w:ascii="Arial" w:hAnsi="Arial" w:eastAsia="黑体"/>
      <w:b/>
      <w:bCs/>
      <w:kern w:val="2"/>
      <w:sz w:val="32"/>
      <w:szCs w:val="32"/>
      <w:lang w:val="en-US" w:eastAsia="zh-CN" w:bidi="ar-SA"/>
    </w:rPr>
  </w:style>
  <w:style w:type="character" w:customStyle="1" w:styleId="334">
    <w:name w:val="ln"/>
    <w:basedOn w:val="61"/>
    <w:qFormat/>
    <w:uiPriority w:val="0"/>
  </w:style>
  <w:style w:type="character" w:customStyle="1" w:styleId="335">
    <w:name w:val="blue14_16b1"/>
    <w:qFormat/>
    <w:uiPriority w:val="0"/>
    <w:rPr>
      <w:b/>
      <w:bCs/>
      <w:color w:val="4361A1"/>
      <w:sz w:val="21"/>
      <w:szCs w:val="21"/>
      <w:u w:val="none"/>
    </w:rPr>
  </w:style>
  <w:style w:type="character" w:customStyle="1" w:styleId="336">
    <w:name w:val="z-窗体顶端字符"/>
    <w:link w:val="177"/>
    <w:qFormat/>
    <w:uiPriority w:val="0"/>
    <w:rPr>
      <w:rFonts w:ascii="Arial" w:hAnsi="Arial" w:eastAsia="宋体" w:cs="Arial"/>
      <w:vanish/>
      <w:color w:val="000000"/>
      <w:sz w:val="16"/>
      <w:szCs w:val="16"/>
      <w:lang w:val="en-US" w:eastAsia="zh-CN" w:bidi="ar-SA"/>
    </w:rPr>
  </w:style>
  <w:style w:type="character" w:customStyle="1" w:styleId="337">
    <w:name w:val="zw1"/>
    <w:qFormat/>
    <w:uiPriority w:val="0"/>
    <w:rPr>
      <w:sz w:val="20"/>
      <w:szCs w:val="20"/>
    </w:rPr>
  </w:style>
  <w:style w:type="character" w:customStyle="1" w:styleId="338">
    <w:name w:val="newstip1"/>
    <w:qFormat/>
    <w:uiPriority w:val="0"/>
    <w:rPr>
      <w:color w:val="CC6600"/>
      <w:sz w:val="18"/>
      <w:szCs w:val="18"/>
    </w:rPr>
  </w:style>
  <w:style w:type="character" w:customStyle="1" w:styleId="339">
    <w:name w:val="font41"/>
    <w:qFormat/>
    <w:uiPriority w:val="0"/>
    <w:rPr>
      <w:rFonts w:hint="eastAsia" w:ascii="宋体" w:hAnsi="宋体" w:eastAsia="宋体"/>
      <w:color w:val="000000"/>
      <w:sz w:val="24"/>
      <w:szCs w:val="24"/>
      <w:u w:val="none"/>
    </w:rPr>
  </w:style>
  <w:style w:type="character" w:customStyle="1" w:styleId="340">
    <w:name w:val="正文文本缩进 2 字符"/>
    <w:link w:val="35"/>
    <w:qFormat/>
    <w:uiPriority w:val="0"/>
    <w:rPr>
      <w:rFonts w:ascii="Arial" w:hAnsi="Arial" w:eastAsia="宋体"/>
      <w:kern w:val="2"/>
      <w:sz w:val="24"/>
      <w:lang w:val="en-US" w:eastAsia="zh-CN" w:bidi="ar-SA"/>
    </w:rPr>
  </w:style>
  <w:style w:type="character" w:customStyle="1" w:styleId="341">
    <w:name w:val="正文文本缩进 3 字符"/>
    <w:link w:val="46"/>
    <w:qFormat/>
    <w:uiPriority w:val="0"/>
    <w:rPr>
      <w:rFonts w:eastAsia="楷体_GB2312"/>
      <w:sz w:val="21"/>
      <w:lang w:val="en-US" w:eastAsia="zh-CN" w:bidi="ar-SA"/>
    </w:rPr>
  </w:style>
  <w:style w:type="character" w:customStyle="1" w:styleId="342">
    <w:name w:val="正文文字缩进 Char Char1"/>
    <w:qFormat/>
    <w:uiPriority w:val="0"/>
    <w:rPr>
      <w:rFonts w:ascii="楷体_GB2312" w:eastAsia="楷体_GB2312"/>
      <w:sz w:val="21"/>
      <w:lang w:val="en-US" w:eastAsia="zh-CN" w:bidi="ar-SA"/>
    </w:rPr>
  </w:style>
  <w:style w:type="character" w:customStyle="1" w:styleId="343">
    <w:name w:val="正文缩进 Char"/>
    <w:qFormat/>
    <w:uiPriority w:val="0"/>
    <w:rPr>
      <w:sz w:val="24"/>
    </w:rPr>
  </w:style>
  <w:style w:type="character" w:customStyle="1" w:styleId="344">
    <w:name w:val="批注文字 Char"/>
    <w:qFormat/>
    <w:uiPriority w:val="0"/>
    <w:rPr>
      <w:kern w:val="2"/>
      <w:sz w:val="24"/>
    </w:rPr>
  </w:style>
  <w:style w:type="paragraph" w:styleId="345">
    <w:name w:val="List Paragraph"/>
    <w:basedOn w:val="1"/>
    <w:link w:val="380"/>
    <w:qFormat/>
    <w:uiPriority w:val="34"/>
    <w:pPr>
      <w:ind w:firstLine="420" w:firstLineChars="200"/>
    </w:pPr>
  </w:style>
  <w:style w:type="character" w:customStyle="1" w:styleId="346">
    <w:name w:val="标题 1 字符"/>
    <w:basedOn w:val="61"/>
    <w:link w:val="2"/>
    <w:qFormat/>
    <w:uiPriority w:val="99"/>
    <w:rPr>
      <w:rFonts w:ascii="宋体"/>
      <w:b/>
      <w:bCs/>
      <w:kern w:val="44"/>
      <w:sz w:val="44"/>
      <w:szCs w:val="44"/>
    </w:rPr>
  </w:style>
  <w:style w:type="character" w:customStyle="1" w:styleId="347">
    <w:name w:val="称呼 字符"/>
    <w:basedOn w:val="61"/>
    <w:link w:val="22"/>
    <w:qFormat/>
    <w:uiPriority w:val="0"/>
    <w:rPr>
      <w:kern w:val="2"/>
      <w:sz w:val="21"/>
      <w:szCs w:val="21"/>
    </w:rPr>
  </w:style>
  <w:style w:type="character" w:customStyle="1" w:styleId="348">
    <w:name w:val="正文文本首行缩进 2 字符"/>
    <w:basedOn w:val="291"/>
    <w:link w:val="58"/>
    <w:qFormat/>
    <w:uiPriority w:val="0"/>
    <w:rPr>
      <w:rFonts w:eastAsia="宋体"/>
      <w:kern w:val="2"/>
      <w:sz w:val="21"/>
      <w:lang w:val="en-US" w:eastAsia="zh-CN" w:bidi="ar-SA"/>
    </w:rPr>
  </w:style>
  <w:style w:type="paragraph" w:customStyle="1" w:styleId="349">
    <w:name w:val="节标题"/>
    <w:basedOn w:val="31"/>
    <w:qFormat/>
    <w:uiPriority w:val="0"/>
    <w:pPr>
      <w:spacing w:beforeLines="50" w:line="720" w:lineRule="auto"/>
      <w:ind w:firstLine="200" w:firstLineChars="200"/>
      <w:jc w:val="center"/>
    </w:pPr>
    <w:rPr>
      <w:rFonts w:ascii="方正宋黑简体" w:eastAsia="方正宋黑简体"/>
      <w:sz w:val="28"/>
    </w:rPr>
  </w:style>
  <w:style w:type="paragraph" w:customStyle="1" w:styleId="350">
    <w:name w:val="Char Char Char Char Char Char Char Char Char Char Char Char"/>
    <w:basedOn w:val="19"/>
    <w:qFormat/>
    <w:uiPriority w:val="0"/>
    <w:pPr>
      <w:spacing w:beforeLines="50" w:line="360" w:lineRule="exact"/>
    </w:pPr>
    <w:rPr>
      <w:rFonts w:ascii="Tahoma" w:hAnsi="Tahoma"/>
      <w:sz w:val="24"/>
      <w:szCs w:val="24"/>
    </w:rPr>
  </w:style>
  <w:style w:type="character" w:customStyle="1" w:styleId="351">
    <w:name w:val="纯文本 字符1"/>
    <w:qFormat/>
    <w:uiPriority w:val="0"/>
    <w:rPr>
      <w:rFonts w:ascii="宋体" w:hAnsi="Courier New" w:cs="Courier New"/>
      <w:kern w:val="2"/>
      <w:sz w:val="21"/>
      <w:szCs w:val="21"/>
    </w:rPr>
  </w:style>
  <w:style w:type="paragraph" w:customStyle="1" w:styleId="352">
    <w:name w:val="正文基本格式"/>
    <w:basedOn w:val="1"/>
    <w:link w:val="353"/>
    <w:qFormat/>
    <w:uiPriority w:val="0"/>
    <w:pPr>
      <w:tabs>
        <w:tab w:val="left" w:pos="900"/>
        <w:tab w:val="left" w:pos="8119"/>
      </w:tabs>
      <w:spacing w:before="156" w:beforeLines="50" w:afterLines="50" w:line="360" w:lineRule="exact"/>
      <w:ind w:firstLine="480" w:firstLineChars="200"/>
    </w:pPr>
    <w:rPr>
      <w:rFonts w:ascii="Times New Roman" w:cs="宋体"/>
      <w:kern w:val="2"/>
      <w:sz w:val="24"/>
    </w:rPr>
  </w:style>
  <w:style w:type="character" w:customStyle="1" w:styleId="353">
    <w:name w:val="正文基本格式 Char"/>
    <w:link w:val="352"/>
    <w:qFormat/>
    <w:uiPriority w:val="0"/>
    <w:rPr>
      <w:rFonts w:cs="宋体"/>
      <w:kern w:val="2"/>
      <w:sz w:val="24"/>
    </w:rPr>
  </w:style>
  <w:style w:type="paragraph" w:customStyle="1" w:styleId="354">
    <w:name w:val="Char Char Char Char Char Char1 Char Char Char"/>
    <w:basedOn w:val="1"/>
    <w:qFormat/>
    <w:uiPriority w:val="0"/>
    <w:pPr>
      <w:autoSpaceDE w:val="0"/>
      <w:autoSpaceDN w:val="0"/>
      <w:adjustRightInd w:val="0"/>
      <w:spacing w:beforeLines="50" w:line="360" w:lineRule="exact"/>
      <w:jc w:val="left"/>
      <w:textAlignment w:val="baseline"/>
    </w:pPr>
    <w:rPr>
      <w:rFonts w:ascii="Times New Roman" w:eastAsia="方正仿宋简体"/>
      <w:kern w:val="2"/>
      <w:sz w:val="32"/>
    </w:rPr>
  </w:style>
  <w:style w:type="character" w:customStyle="1" w:styleId="355">
    <w:name w:val="Body Text Char"/>
    <w:link w:val="356"/>
    <w:qFormat/>
    <w:uiPriority w:val="0"/>
    <w:rPr>
      <w:rFonts w:ascii="Georgia"/>
    </w:rPr>
  </w:style>
  <w:style w:type="paragraph" w:customStyle="1" w:styleId="356">
    <w:name w:val="Body Text1"/>
    <w:basedOn w:val="1"/>
    <w:link w:val="355"/>
    <w:qFormat/>
    <w:uiPriority w:val="0"/>
    <w:pPr>
      <w:spacing w:beforeLines="50" w:line="360" w:lineRule="exact"/>
    </w:pPr>
    <w:rPr>
      <w:rFonts w:ascii="Georgia"/>
      <w:sz w:val="20"/>
    </w:rPr>
  </w:style>
  <w:style w:type="paragraph" w:customStyle="1" w:styleId="357">
    <w:name w:val="doc-a2"/>
    <w:basedOn w:val="1"/>
    <w:qFormat/>
    <w:uiPriority w:val="0"/>
    <w:pPr>
      <w:widowControl/>
      <w:spacing w:before="225" w:beforeLines="50" w:after="100" w:afterAutospacing="1" w:line="450" w:lineRule="atLeast"/>
      <w:ind w:firstLine="480"/>
      <w:jc w:val="left"/>
    </w:pPr>
    <w:rPr>
      <w:rFonts w:ascii="微软雅黑" w:hAnsi="微软雅黑" w:eastAsia="微软雅黑" w:cs="宋体"/>
      <w:sz w:val="21"/>
      <w:szCs w:val="21"/>
    </w:rPr>
  </w:style>
  <w:style w:type="paragraph" w:customStyle="1" w:styleId="358">
    <w:name w:val="Char Char Char Char Char Char1 Char Char Char1"/>
    <w:basedOn w:val="1"/>
    <w:qFormat/>
    <w:uiPriority w:val="0"/>
    <w:pPr>
      <w:autoSpaceDE w:val="0"/>
      <w:autoSpaceDN w:val="0"/>
      <w:spacing w:beforeLines="50" w:line="360" w:lineRule="exact"/>
      <w:jc w:val="left"/>
      <w:textAlignment w:val="baseline"/>
    </w:pPr>
    <w:rPr>
      <w:rFonts w:ascii="Times New Roman"/>
      <w:kern w:val="2"/>
      <w:sz w:val="21"/>
    </w:rPr>
  </w:style>
  <w:style w:type="paragraph" w:customStyle="1" w:styleId="359">
    <w:name w:val="修订1"/>
    <w:hidden/>
    <w:semiHidden/>
    <w:qFormat/>
    <w:uiPriority w:val="99"/>
    <w:pPr>
      <w:spacing w:beforeLines="50" w:line="360" w:lineRule="exact"/>
      <w:jc w:val="both"/>
    </w:pPr>
    <w:rPr>
      <w:rFonts w:ascii="Times New Roman" w:hAnsi="Times New Roman" w:eastAsia="宋体" w:cs="Times New Roman"/>
      <w:kern w:val="2"/>
      <w:sz w:val="21"/>
      <w:szCs w:val="24"/>
      <w:lang w:val="en-US" w:eastAsia="zh-CN" w:bidi="ar-SA"/>
    </w:rPr>
  </w:style>
  <w:style w:type="paragraph" w:customStyle="1" w:styleId="360">
    <w:name w:val="Style1"/>
    <w:basedOn w:val="2"/>
    <w:qFormat/>
    <w:uiPriority w:val="0"/>
    <w:pPr>
      <w:keepLines w:val="0"/>
      <w:widowControl/>
      <w:tabs>
        <w:tab w:val="left" w:pos="446"/>
      </w:tabs>
      <w:spacing w:before="240" w:beforeLines="50" w:after="60" w:line="360" w:lineRule="exact"/>
      <w:jc w:val="left"/>
    </w:pPr>
    <w:rPr>
      <w:rFonts w:ascii="Times New Roman" w:cs="Arial"/>
      <w:b w:val="0"/>
      <w:kern w:val="32"/>
      <w:sz w:val="24"/>
      <w:szCs w:val="32"/>
    </w:rPr>
  </w:style>
  <w:style w:type="paragraph" w:customStyle="1" w:styleId="361">
    <w:name w:val="正文的样式"/>
    <w:basedOn w:val="1"/>
    <w:link w:val="374"/>
    <w:qFormat/>
    <w:uiPriority w:val="0"/>
    <w:pPr>
      <w:spacing w:beforeLines="50" w:after="100" w:line="360" w:lineRule="exact"/>
      <w:jc w:val="left"/>
    </w:pPr>
    <w:rPr>
      <w:rFonts w:hAnsi="宋体"/>
      <w:kern w:val="2"/>
      <w:sz w:val="20"/>
    </w:rPr>
  </w:style>
  <w:style w:type="character" w:styleId="362">
    <w:name w:val="Placeholder Text"/>
    <w:semiHidden/>
    <w:qFormat/>
    <w:uiPriority w:val="99"/>
    <w:rPr>
      <w:color w:val="auto"/>
    </w:rPr>
  </w:style>
  <w:style w:type="character" w:customStyle="1" w:styleId="363">
    <w:name w:val="日期 字符1"/>
    <w:qFormat/>
    <w:uiPriority w:val="0"/>
    <w:rPr>
      <w:kern w:val="2"/>
      <w:sz w:val="21"/>
      <w:szCs w:val="24"/>
    </w:rPr>
  </w:style>
  <w:style w:type="paragraph" w:customStyle="1" w:styleId="364">
    <w:name w:val="Char Char Char Char Char Char Char Char Char Char Char Char1"/>
    <w:basedOn w:val="19"/>
    <w:qFormat/>
    <w:uiPriority w:val="0"/>
    <w:pPr>
      <w:spacing w:beforeLines="50" w:line="360" w:lineRule="exact"/>
    </w:pPr>
    <w:rPr>
      <w:rFonts w:ascii="Tahoma" w:hAnsi="Tahoma"/>
      <w:sz w:val="24"/>
      <w:szCs w:val="24"/>
    </w:rPr>
  </w:style>
  <w:style w:type="paragraph" w:customStyle="1" w:styleId="365">
    <w:name w:val="Char Char Char Char Char Char Char1"/>
    <w:basedOn w:val="1"/>
    <w:qFormat/>
    <w:uiPriority w:val="0"/>
    <w:pPr>
      <w:tabs>
        <w:tab w:val="left" w:pos="360"/>
      </w:tabs>
      <w:spacing w:beforeLines="50" w:line="360" w:lineRule="exact"/>
      <w:ind w:left="360" w:hanging="360"/>
    </w:pPr>
    <w:rPr>
      <w:rFonts w:ascii="Times New Roman"/>
      <w:kern w:val="2"/>
      <w:sz w:val="24"/>
      <w:szCs w:val="24"/>
    </w:rPr>
  </w:style>
  <w:style w:type="character" w:customStyle="1" w:styleId="366">
    <w:name w:val="fontstyle01"/>
    <w:qFormat/>
    <w:uiPriority w:val="0"/>
    <w:rPr>
      <w:rFonts w:hint="eastAsia" w:ascii="宋体" w:hAnsi="宋体" w:eastAsia="宋体"/>
      <w:color w:val="000000"/>
      <w:sz w:val="22"/>
      <w:szCs w:val="22"/>
    </w:rPr>
  </w:style>
  <w:style w:type="character" w:customStyle="1" w:styleId="367">
    <w:name w:val="title1"/>
    <w:qFormat/>
    <w:uiPriority w:val="0"/>
    <w:rPr>
      <w:rFonts w:hint="eastAsia" w:ascii="微软雅黑" w:hAnsi="微软雅黑" w:eastAsia="微软雅黑"/>
      <w:sz w:val="21"/>
      <w:szCs w:val="21"/>
    </w:rPr>
  </w:style>
  <w:style w:type="paragraph" w:customStyle="1" w:styleId="368">
    <w:name w:val="标题1"/>
    <w:basedOn w:val="1"/>
    <w:qFormat/>
    <w:uiPriority w:val="0"/>
    <w:pPr>
      <w:widowControl/>
      <w:spacing w:beforeAutospacing="1" w:after="100" w:afterAutospacing="1"/>
      <w:ind w:firstLine="480"/>
      <w:jc w:val="left"/>
    </w:pPr>
    <w:rPr>
      <w:rFonts w:ascii="微软雅黑" w:hAnsi="微软雅黑" w:eastAsia="微软雅黑" w:cs="宋体"/>
      <w:sz w:val="21"/>
      <w:szCs w:val="21"/>
    </w:rPr>
  </w:style>
  <w:style w:type="character" w:customStyle="1" w:styleId="369">
    <w:name w:val="sect2title1"/>
    <w:qFormat/>
    <w:uiPriority w:val="0"/>
    <w:rPr>
      <w:rFonts w:hint="eastAsia" w:ascii="微软雅黑" w:hAnsi="微软雅黑" w:eastAsia="微软雅黑"/>
      <w:b/>
      <w:bCs/>
      <w:sz w:val="21"/>
      <w:szCs w:val="21"/>
    </w:rPr>
  </w:style>
  <w:style w:type="paragraph" w:customStyle="1" w:styleId="370">
    <w:name w:val="promulgatedate"/>
    <w:basedOn w:val="1"/>
    <w:qFormat/>
    <w:uiPriority w:val="0"/>
    <w:pPr>
      <w:widowControl/>
      <w:jc w:val="right"/>
    </w:pPr>
    <w:rPr>
      <w:rFonts w:hAnsi="宋体" w:cs="宋体"/>
      <w:sz w:val="21"/>
      <w:szCs w:val="21"/>
    </w:rPr>
  </w:style>
  <w:style w:type="paragraph" w:customStyle="1" w:styleId="371">
    <w:name w:val="promulgatesignatory"/>
    <w:basedOn w:val="1"/>
    <w:qFormat/>
    <w:uiPriority w:val="0"/>
    <w:pPr>
      <w:widowControl/>
      <w:jc w:val="right"/>
    </w:pPr>
    <w:rPr>
      <w:rFonts w:hAnsi="宋体" w:cs="宋体"/>
      <w:sz w:val="21"/>
      <w:szCs w:val="21"/>
    </w:rPr>
  </w:style>
  <w:style w:type="character" w:customStyle="1" w:styleId="372">
    <w:name w:val="fontstyle21"/>
    <w:qFormat/>
    <w:uiPriority w:val="0"/>
    <w:rPr>
      <w:rFonts w:hint="default" w:ascii="ArialMT" w:hAnsi="ArialMT"/>
      <w:color w:val="000000"/>
      <w:sz w:val="20"/>
      <w:szCs w:val="20"/>
    </w:rPr>
  </w:style>
  <w:style w:type="paragraph" w:customStyle="1" w:styleId="373">
    <w:name w:val="Table Paragraph"/>
    <w:basedOn w:val="1"/>
    <w:qFormat/>
    <w:uiPriority w:val="1"/>
    <w:pPr>
      <w:autoSpaceDE w:val="0"/>
      <w:autoSpaceDN w:val="0"/>
      <w:spacing w:after="160" w:line="259" w:lineRule="auto"/>
      <w:jc w:val="left"/>
    </w:pPr>
    <w:rPr>
      <w:rFonts w:ascii="Noto Sans CJK JP Regular" w:hAnsi="Noto Sans CJK JP Regular" w:eastAsia="Noto Sans CJK JP Regular" w:cs="Noto Sans CJK JP Regular"/>
      <w:sz w:val="22"/>
      <w:szCs w:val="22"/>
      <w:lang w:eastAsia="en-US"/>
    </w:rPr>
  </w:style>
  <w:style w:type="character" w:customStyle="1" w:styleId="374">
    <w:name w:val="正文的样式 Char"/>
    <w:link w:val="361"/>
    <w:qFormat/>
    <w:uiPriority w:val="0"/>
    <w:rPr>
      <w:rFonts w:ascii="宋体" w:hAnsi="宋体"/>
      <w:kern w:val="2"/>
    </w:rPr>
  </w:style>
  <w:style w:type="character" w:customStyle="1" w:styleId="375">
    <w:name w:val="fontstyle11"/>
    <w:qFormat/>
    <w:uiPriority w:val="0"/>
    <w:rPr>
      <w:rFonts w:hint="default" w:ascii="Arial" w:hAnsi="Arial" w:cs="Arial"/>
      <w:color w:val="000000"/>
      <w:sz w:val="24"/>
      <w:szCs w:val="24"/>
    </w:rPr>
  </w:style>
  <w:style w:type="paragraph" w:styleId="376">
    <w:name w:val="No Spacing"/>
    <w:qFormat/>
    <w:uiPriority w:val="1"/>
    <w:pPr>
      <w:widowControl w:val="0"/>
      <w:jc w:val="both"/>
    </w:pPr>
    <w:rPr>
      <w:rFonts w:ascii="Calibri" w:hAnsi="Calibri" w:eastAsia="宋体" w:cs="Times New Roman"/>
      <w:kern w:val="2"/>
      <w:sz w:val="21"/>
      <w:szCs w:val="22"/>
      <w:lang w:val="en-US" w:eastAsia="zh-CN" w:bidi="ar-SA"/>
    </w:rPr>
  </w:style>
  <w:style w:type="character" w:customStyle="1" w:styleId="377">
    <w:name w:val="fontstyle31"/>
    <w:qFormat/>
    <w:uiPriority w:val="0"/>
    <w:rPr>
      <w:rFonts w:hint="default" w:ascii="Calibri" w:hAnsi="Calibri"/>
      <w:color w:val="000000"/>
      <w:sz w:val="18"/>
      <w:szCs w:val="18"/>
    </w:rPr>
  </w:style>
  <w:style w:type="paragraph" w:customStyle="1" w:styleId="378">
    <w:name w:val="×Ó±êÌâ1"/>
    <w:basedOn w:val="1"/>
    <w:qFormat/>
    <w:uiPriority w:val="0"/>
    <w:pPr>
      <w:widowControl/>
      <w:tabs>
        <w:tab w:val="left" w:pos="595"/>
      </w:tabs>
      <w:overflowPunct w:val="0"/>
      <w:autoSpaceDE w:val="0"/>
      <w:autoSpaceDN w:val="0"/>
      <w:adjustRightInd w:val="0"/>
      <w:spacing w:after="140" w:line="360" w:lineRule="auto"/>
      <w:ind w:left="-383"/>
      <w:textAlignment w:val="baseline"/>
    </w:pPr>
    <w:rPr>
      <w:rFonts w:ascii="Arial Black" w:hAnsi="Arial Black"/>
      <w:b/>
      <w:sz w:val="28"/>
    </w:rPr>
  </w:style>
  <w:style w:type="character" w:customStyle="1" w:styleId="379">
    <w:name w:val="Default Char"/>
    <w:link w:val="94"/>
    <w:qFormat/>
    <w:uiPriority w:val="0"/>
    <w:rPr>
      <w:rFonts w:ascii="仿宋_GB2312" w:hAnsi="仿宋_GB2312" w:eastAsia="仿宋_GB2312"/>
      <w:color w:val="000000"/>
      <w:sz w:val="24"/>
    </w:rPr>
  </w:style>
  <w:style w:type="character" w:customStyle="1" w:styleId="380">
    <w:name w:val="列表段落 字符"/>
    <w:link w:val="345"/>
    <w:qFormat/>
    <w:uiPriority w:val="34"/>
    <w:rPr>
      <w:rFonts w:ascii="宋体"/>
      <w:sz w:val="34"/>
    </w:rPr>
  </w:style>
  <w:style w:type="paragraph" w:customStyle="1" w:styleId="381">
    <w:name w:val="修订2"/>
    <w:hidden/>
    <w:semiHidden/>
    <w:uiPriority w:val="99"/>
    <w:rPr>
      <w:rFonts w:ascii="Times New Roman" w:hAnsi="Times New Roman" w:eastAsia="宋体" w:cs="Times New Roman"/>
      <w:kern w:val="2"/>
      <w:sz w:val="21"/>
      <w:szCs w:val="24"/>
      <w:lang w:val="en-US" w:eastAsia="zh-CN" w:bidi="ar-SA"/>
    </w:rPr>
  </w:style>
</w:styles>
</file>

<file path=word/_rels/document.xml.rels><?xml version="1.0" encoding="UTF-8" standalone="yes"?>
<Relationships xmlns="http://schemas.openxmlformats.org/package/2006/relationships"><Relationship Id="rId9" Type="http://schemas.openxmlformats.org/officeDocument/2006/relationships/header" Target="header4.xml"/><Relationship Id="rId8" Type="http://schemas.openxmlformats.org/officeDocument/2006/relationships/footer" Target="footer3.xml"/><Relationship Id="rId7" Type="http://schemas.openxmlformats.org/officeDocument/2006/relationships/footer" Target="footer2.xml"/><Relationship Id="rId6" Type="http://schemas.openxmlformats.org/officeDocument/2006/relationships/footer" Target="footer1.xml"/><Relationship Id="rId5" Type="http://schemas.openxmlformats.org/officeDocument/2006/relationships/header" Target="header3.xml"/><Relationship Id="rId4" Type="http://schemas.openxmlformats.org/officeDocument/2006/relationships/header" Target="header2.xml"/><Relationship Id="rId3" Type="http://schemas.openxmlformats.org/officeDocument/2006/relationships/header" Target="header1.xml"/><Relationship Id="rId24" Type="http://schemas.openxmlformats.org/officeDocument/2006/relationships/fontTable" Target="fontTable.xml"/><Relationship Id="rId23" Type="http://schemas.openxmlformats.org/officeDocument/2006/relationships/customXml" Target="../customXml/item2.xml"/><Relationship Id="rId22" Type="http://schemas.openxmlformats.org/officeDocument/2006/relationships/numbering" Target="numbering.xml"/><Relationship Id="rId21" Type="http://schemas.openxmlformats.org/officeDocument/2006/relationships/customXml" Target="../customXml/item1.xml"/><Relationship Id="rId20" Type="http://schemas.openxmlformats.org/officeDocument/2006/relationships/image" Target="media/image3.png"/><Relationship Id="rId2" Type="http://schemas.openxmlformats.org/officeDocument/2006/relationships/settings" Target="settings.xml"/><Relationship Id="rId19" Type="http://schemas.openxmlformats.org/officeDocument/2006/relationships/image" Target="media/image2.jpeg"/><Relationship Id="rId18" Type="http://schemas.openxmlformats.org/officeDocument/2006/relationships/image" Target="media/image1.png"/><Relationship Id="rId17" Type="http://schemas.openxmlformats.org/officeDocument/2006/relationships/theme" Target="theme/theme1.xml"/><Relationship Id="rId16" Type="http://schemas.openxmlformats.org/officeDocument/2006/relationships/footer" Target="footer8.xml"/><Relationship Id="rId15" Type="http://schemas.openxmlformats.org/officeDocument/2006/relationships/footer" Target="footer7.xml"/><Relationship Id="rId14" Type="http://schemas.openxmlformats.org/officeDocument/2006/relationships/header" Target="header6.xml"/><Relationship Id="rId13" Type="http://schemas.openxmlformats.org/officeDocument/2006/relationships/footer" Target="footer6.xml"/><Relationship Id="rId12" Type="http://schemas.openxmlformats.org/officeDocument/2006/relationships/footer" Target="footer5.xml"/><Relationship Id="rId11" Type="http://schemas.openxmlformats.org/officeDocument/2006/relationships/header" Target="header5.xml"/><Relationship Id="rId10" Type="http://schemas.openxmlformats.org/officeDocument/2006/relationships/footer" Target="footer4.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04D62F44-9D56-428C-920B-970CAB5264F8}">
  <ds:schemaRefs/>
</ds:datastoreItem>
</file>

<file path=docProps/app.xml><?xml version="1.0" encoding="utf-8"?>
<Properties xmlns="http://schemas.openxmlformats.org/officeDocument/2006/extended-properties" xmlns:vt="http://schemas.openxmlformats.org/officeDocument/2006/docPropsVTypes">
  <Template>Normal</Template>
  <Company>中衡正量</Company>
  <Pages>24</Pages>
  <Words>3603</Words>
  <Characters>4126</Characters>
  <Lines>548</Lines>
  <Paragraphs>503</Paragraphs>
  <TotalTime>55</TotalTime>
  <ScaleCrop>false</ScaleCrop>
  <LinksUpToDate>false</LinksUpToDate>
  <CharactersWithSpaces>4164</CharactersWithSpaces>
  <Application>WPS Office_12.1.0.24034_F1E327BC-269C-435d-A152-05C5408002CA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2025-12-09T09:11:00Z</dcterms:created>
  <dc:creator>董志宾</dc:creator>
  <cp:lastModifiedBy>Administrator</cp:lastModifiedBy>
  <cp:lastPrinted>2016-12-14T04:41:00Z</cp:lastPrinted>
  <dcterms:modified xsi:type="dcterms:W3CDTF">2025-12-10T00:47:45Z</dcterms:modified>
  <dc:title>评估报告</dc:title>
  <cp:revision>10</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2052-12.1.0.24034</vt:lpwstr>
  </property>
  <property fmtid="{D5CDD505-2E9C-101B-9397-08002B2CF9AE}" pid="3" name="ICV">
    <vt:lpwstr>FB9E4E39BA634E5DBE3F07516241F7AB_12</vt:lpwstr>
  </property>
  <property fmtid="{D5CDD505-2E9C-101B-9397-08002B2CF9AE}" pid="4" name="KSOTemplateDocerSaveRecord">
    <vt:lpwstr>eyJoZGlkIjoiMTU1ODRiODZmMjVmZTVlZjFkY2QyYjM5YjgxYjJhY2QifQ==</vt:lpwstr>
  </property>
</Properties>
</file>